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49F97FA" w:rsidR="00496B7F" w:rsidRDefault="00676069" w:rsidP="00B969EC">
            <w:pPr>
              <w:jc w:val="center"/>
              <w:rPr>
                <w:b/>
                <w:color w:val="FFFFFF" w:themeColor="background1"/>
                <w:sz w:val="64"/>
                <w:szCs w:val="64"/>
              </w:rPr>
            </w:pPr>
            <w:r>
              <w:rPr>
                <w:b/>
                <w:color w:val="FFFFFF" w:themeColor="background1"/>
                <w:sz w:val="64"/>
                <w:szCs w:val="64"/>
              </w:rPr>
              <w:t>EGIPTO</w:t>
            </w:r>
            <w:r w:rsidR="00E71E69">
              <w:rPr>
                <w:b/>
                <w:color w:val="FFFFFF" w:themeColor="background1"/>
                <w:sz w:val="64"/>
                <w:szCs w:val="64"/>
              </w:rPr>
              <w:t>, DUBÁI</w:t>
            </w:r>
            <w:r>
              <w:rPr>
                <w:b/>
                <w:color w:val="FFFFFF" w:themeColor="background1"/>
                <w:sz w:val="64"/>
                <w:szCs w:val="64"/>
              </w:rPr>
              <w:t xml:space="preserve"> </w:t>
            </w:r>
            <w:r w:rsidR="003934FC">
              <w:rPr>
                <w:b/>
                <w:color w:val="FFFFFF" w:themeColor="background1"/>
                <w:sz w:val="64"/>
                <w:szCs w:val="64"/>
              </w:rPr>
              <w:t>Y ESTAMBUL</w:t>
            </w:r>
          </w:p>
        </w:tc>
      </w:tr>
    </w:tbl>
    <w:p w14:paraId="0F2174C0" w14:textId="77777777" w:rsidR="00496B7F" w:rsidRDefault="00496B7F" w:rsidP="00496B7F">
      <w:pPr>
        <w:pStyle w:val="dias"/>
      </w:pPr>
    </w:p>
    <w:p w14:paraId="1188943D" w14:textId="176CE67B"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B842AC">
        <w:rPr>
          <w:color w:val="1F3864"/>
          <w:sz w:val="48"/>
          <w:szCs w:val="48"/>
        </w:rPr>
        <w:t>18.</w:t>
      </w:r>
      <w:r w:rsidR="006E767E">
        <w:rPr>
          <w:color w:val="1F3864"/>
          <w:sz w:val="48"/>
          <w:szCs w:val="48"/>
        </w:rPr>
        <w:t>390</w:t>
      </w:r>
      <w:r w:rsidR="00B842AC">
        <w:rPr>
          <w:color w:val="1F3864"/>
          <w:sz w:val="48"/>
          <w:szCs w:val="48"/>
        </w:rPr>
        <w:t>.000</w:t>
      </w:r>
    </w:p>
    <w:p w14:paraId="3FAB9B43" w14:textId="0D8154F5" w:rsidR="008D64ED" w:rsidRPr="00FA0550" w:rsidRDefault="008D64ED" w:rsidP="008D64ED">
      <w:pPr>
        <w:pStyle w:val="tituloprograma"/>
        <w:rPr>
          <w:color w:val="1F3864"/>
          <w:sz w:val="48"/>
          <w:szCs w:val="48"/>
        </w:rPr>
      </w:pPr>
      <w:r>
        <w:rPr>
          <w:color w:val="1F3864"/>
          <w:sz w:val="48"/>
          <w:szCs w:val="48"/>
        </w:rPr>
        <w:t>Desde USD</w:t>
      </w:r>
      <w:r w:rsidR="00B842AC">
        <w:rPr>
          <w:color w:val="1F3864"/>
          <w:sz w:val="48"/>
          <w:szCs w:val="48"/>
        </w:rPr>
        <w:t xml:space="preserve"> 4.</w:t>
      </w:r>
      <w:r w:rsidR="006E767E">
        <w:rPr>
          <w:color w:val="1F3864"/>
          <w:sz w:val="48"/>
          <w:szCs w:val="48"/>
        </w:rPr>
        <w:t>320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42C40A8" w:rsidR="00C32BB3" w:rsidRPr="00FA0550" w:rsidRDefault="00DA79CB" w:rsidP="00836D9E">
      <w:pPr>
        <w:pStyle w:val="tituloprograma"/>
        <w:rPr>
          <w:color w:val="1F3864"/>
          <w:sz w:val="40"/>
          <w:szCs w:val="40"/>
        </w:rPr>
      </w:pPr>
      <w:r w:rsidRPr="00804C46">
        <w:rPr>
          <w:color w:val="1F3864"/>
          <w:sz w:val="40"/>
          <w:szCs w:val="40"/>
        </w:rPr>
        <w:t>1</w:t>
      </w:r>
      <w:r w:rsidR="00E71E69">
        <w:rPr>
          <w:color w:val="1F3864"/>
          <w:sz w:val="40"/>
          <w:szCs w:val="40"/>
        </w:rPr>
        <w:t>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43C6ED3" w:rsidR="001123E0" w:rsidRDefault="00123A45" w:rsidP="00477DDA">
      <w:pPr>
        <w:pStyle w:val="dias"/>
        <w:jc w:val="center"/>
        <w:rPr>
          <w:caps w:val="0"/>
          <w:color w:val="1F3864"/>
          <w:sz w:val="40"/>
          <w:szCs w:val="40"/>
        </w:rPr>
      </w:pPr>
      <w:r>
        <w:rPr>
          <w:caps w:val="0"/>
          <w:color w:val="1F3864"/>
          <w:sz w:val="40"/>
          <w:szCs w:val="40"/>
        </w:rPr>
        <w:t>E</w:t>
      </w:r>
      <w:r w:rsidR="00676069" w:rsidRPr="00676069">
        <w:rPr>
          <w:caps w:val="0"/>
          <w:color w:val="1F3864"/>
          <w:sz w:val="40"/>
          <w:szCs w:val="40"/>
        </w:rPr>
        <w:t xml:space="preserve">l Cairo, Aswan, Kom Ombo, Edfu, Luxor, </w:t>
      </w:r>
      <w:r w:rsidR="00E71E69" w:rsidRPr="00E71E69">
        <w:rPr>
          <w:caps w:val="0"/>
          <w:color w:val="1F3864"/>
          <w:sz w:val="40"/>
          <w:szCs w:val="40"/>
        </w:rPr>
        <w:t>Dubái, Abu Dhabi</w:t>
      </w:r>
      <w:r w:rsidR="00E71E69">
        <w:rPr>
          <w:caps w:val="0"/>
          <w:color w:val="1F3864"/>
          <w:sz w:val="40"/>
          <w:szCs w:val="40"/>
        </w:rPr>
        <w:t>,</w:t>
      </w:r>
      <w:r w:rsidR="00E71E69" w:rsidRPr="00E71E69">
        <w:rPr>
          <w:caps w:val="0"/>
          <w:color w:val="1F3864"/>
          <w:sz w:val="40"/>
          <w:szCs w:val="40"/>
        </w:rPr>
        <w:t xml:space="preserve"> </w:t>
      </w:r>
      <w:r w:rsidR="003934FC">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290DD33" w14:textId="0DF69821" w:rsidR="00676069" w:rsidRDefault="00676069" w:rsidP="00676069">
      <w:pPr>
        <w:pStyle w:val="itinerario"/>
        <w:ind w:left="2832"/>
        <w:jc w:val="left"/>
        <w:rPr>
          <w:b/>
          <w:color w:val="1F3864"/>
          <w:sz w:val="28"/>
          <w:szCs w:val="28"/>
        </w:rPr>
      </w:pPr>
      <w:r>
        <w:rPr>
          <w:b/>
          <w:color w:val="1F3864"/>
          <w:sz w:val="28"/>
          <w:szCs w:val="28"/>
        </w:rPr>
        <w:t xml:space="preserve">Abril </w:t>
      </w:r>
      <w:r w:rsidR="00E71E69">
        <w:rPr>
          <w:b/>
          <w:color w:val="1F3864"/>
          <w:sz w:val="28"/>
          <w:szCs w:val="28"/>
        </w:rPr>
        <w:t>4</w:t>
      </w:r>
      <w:r>
        <w:rPr>
          <w:b/>
          <w:color w:val="1F3864"/>
          <w:sz w:val="28"/>
          <w:szCs w:val="28"/>
        </w:rPr>
        <w:tab/>
      </w:r>
      <w:r>
        <w:rPr>
          <w:b/>
          <w:color w:val="1F3864"/>
          <w:sz w:val="28"/>
          <w:szCs w:val="28"/>
        </w:rPr>
        <w:tab/>
      </w:r>
      <w:r>
        <w:rPr>
          <w:b/>
          <w:color w:val="1F3864"/>
          <w:sz w:val="28"/>
          <w:szCs w:val="28"/>
        </w:rPr>
        <w:tab/>
      </w:r>
      <w:r w:rsidR="00E71E69">
        <w:rPr>
          <w:b/>
          <w:color w:val="1F3864"/>
          <w:sz w:val="28"/>
          <w:szCs w:val="28"/>
        </w:rPr>
        <w:t>abril 17</w:t>
      </w:r>
    </w:p>
    <w:p w14:paraId="2B2C92EA" w14:textId="6142131F" w:rsidR="00676069" w:rsidRDefault="00676069"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1D743A7E" w:rsidR="00676069" w:rsidRDefault="00676069" w:rsidP="006B3E5E">
      <w:pPr>
        <w:pStyle w:val="dias"/>
        <w:rPr>
          <w:color w:val="1F3864"/>
          <w:sz w:val="28"/>
          <w:szCs w:val="28"/>
        </w:rPr>
      </w:pPr>
    </w:p>
    <w:p w14:paraId="0EF4C333" w14:textId="77777777" w:rsidR="000940DF" w:rsidRDefault="000940DF"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4A9EE3AB"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w:t>
      </w:r>
      <w:r w:rsidR="00E9246A" w:rsidRPr="004125E3">
        <w:t xml:space="preserve">– </w:t>
      </w:r>
      <w:r w:rsidR="00E9246A">
        <w:t>El</w:t>
      </w:r>
      <w:r w:rsidR="001844C6" w:rsidRPr="004125E3">
        <w:t xml:space="preserve"> Cairo</w:t>
      </w:r>
      <w:r w:rsidR="00676069" w:rsidRPr="004125E3">
        <w:t xml:space="preserve"> </w:t>
      </w:r>
      <w:r w:rsidR="00E71E69">
        <w:t xml:space="preserve">// Dubái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60CE2125" w:rsidR="003934FC" w:rsidRPr="004125E3" w:rsidRDefault="003934FC" w:rsidP="003934FC">
      <w:pPr>
        <w:pStyle w:val="vinetas"/>
        <w:jc w:val="both"/>
      </w:pPr>
      <w:r w:rsidRPr="004125E3">
        <w:t xml:space="preserve">Tiquete aéreo en la ruta </w:t>
      </w:r>
      <w:r w:rsidR="00676069" w:rsidRPr="004125E3">
        <w:t>El C</w:t>
      </w:r>
      <w:r w:rsidRPr="004125E3">
        <w:t>airo</w:t>
      </w:r>
      <w:r w:rsidR="00E71E69">
        <w:t xml:space="preserve"> – Dubái.</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33FCCDA6" w:rsidR="001844C6" w:rsidRDefault="00A34B9F"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723BAFF6"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34262DE9" w14:textId="77777777" w:rsidR="00E71E69" w:rsidRPr="006B3E5E" w:rsidRDefault="00E71E69" w:rsidP="00E71E69">
      <w:pPr>
        <w:pStyle w:val="vinetas"/>
        <w:numPr>
          <w:ilvl w:val="0"/>
          <w:numId w:val="0"/>
        </w:numPr>
        <w:rPr>
          <w:b/>
          <w:bCs/>
          <w:color w:val="1F3864"/>
        </w:rPr>
      </w:pPr>
      <w:r w:rsidRPr="006B3E5E">
        <w:rPr>
          <w:b/>
          <w:bCs/>
          <w:color w:val="1F3864"/>
        </w:rPr>
        <w:t>Servicios en Dubái:</w:t>
      </w:r>
    </w:p>
    <w:p w14:paraId="37BC06DB" w14:textId="77777777" w:rsidR="00E71E69" w:rsidRPr="00477DDA" w:rsidRDefault="00E71E69" w:rsidP="00E71E69">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435FD6C6" w14:textId="2A6BE2CA" w:rsidR="00E71E69" w:rsidRDefault="00E71E69" w:rsidP="00E71E69">
      <w:pPr>
        <w:pStyle w:val="vinetas"/>
        <w:ind w:left="714" w:hanging="357"/>
      </w:pPr>
      <w:r>
        <w:t>3 noches de alojamiento en Dubái.</w:t>
      </w:r>
    </w:p>
    <w:p w14:paraId="4EBF5441" w14:textId="77777777" w:rsidR="00E71E69" w:rsidRDefault="00E71E69" w:rsidP="00E71E69">
      <w:pPr>
        <w:pStyle w:val="vinetas"/>
        <w:ind w:left="714" w:hanging="357"/>
      </w:pPr>
      <w:r>
        <w:t>Desayuno diario.</w:t>
      </w:r>
    </w:p>
    <w:p w14:paraId="1D1011CA" w14:textId="77777777" w:rsidR="00E71E69" w:rsidRDefault="00E71E69" w:rsidP="00E71E69">
      <w:pPr>
        <w:pStyle w:val="vinetas"/>
        <w:ind w:left="714" w:hanging="357"/>
      </w:pPr>
      <w:r>
        <w:t>Visitas con guía en español.</w:t>
      </w:r>
    </w:p>
    <w:p w14:paraId="0C873380" w14:textId="77777777" w:rsidR="00E71E69" w:rsidRDefault="00E71E69" w:rsidP="00E71E69">
      <w:pPr>
        <w:pStyle w:val="vinetas"/>
        <w:ind w:left="714" w:hanging="357"/>
      </w:pPr>
      <w:r>
        <w:t>Safari 4 X 4 (conductor de habla inglesa) en Dubái. Incluye cena BBQ.</w:t>
      </w:r>
    </w:p>
    <w:p w14:paraId="39CF630F" w14:textId="77777777" w:rsidR="00E71E69" w:rsidRPr="002506E3" w:rsidRDefault="00E71E69" w:rsidP="00E71E69">
      <w:pPr>
        <w:pStyle w:val="vinetas"/>
        <w:ind w:left="714" w:hanging="357"/>
      </w:pPr>
      <w:r>
        <w:t xml:space="preserve">Visita </w:t>
      </w:r>
      <w:r w:rsidRPr="002506E3">
        <w:t>de medio día Dubái clásico.</w:t>
      </w:r>
    </w:p>
    <w:p w14:paraId="6417FAB5" w14:textId="77777777" w:rsidR="00E71E69" w:rsidRPr="002506E3" w:rsidRDefault="00E71E69" w:rsidP="00E71E69">
      <w:pPr>
        <w:pStyle w:val="vinetas"/>
        <w:ind w:left="714" w:hanging="357"/>
      </w:pPr>
      <w:r w:rsidRPr="002506E3">
        <w:t>Visita de día completo al Emirato de Abu Dhabi.</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729ADAF4" w14:textId="77777777" w:rsidR="00E9246A" w:rsidRDefault="00E9246A" w:rsidP="00483520">
      <w:pPr>
        <w:pStyle w:val="dias"/>
        <w:rPr>
          <w:caps w:val="0"/>
          <w:color w:val="1F3864"/>
          <w:sz w:val="28"/>
          <w:szCs w:val="28"/>
        </w:rPr>
      </w:pPr>
    </w:p>
    <w:p w14:paraId="4C2F88FA" w14:textId="77777777" w:rsidR="00E9246A" w:rsidRDefault="00E9246A" w:rsidP="00483520">
      <w:pPr>
        <w:pStyle w:val="dias"/>
        <w:rPr>
          <w:caps w:val="0"/>
          <w:color w:val="1F3864"/>
          <w:sz w:val="28"/>
          <w:szCs w:val="28"/>
        </w:rPr>
      </w:pPr>
    </w:p>
    <w:p w14:paraId="55269BA5" w14:textId="77777777" w:rsidR="00E9246A" w:rsidRDefault="00E9246A" w:rsidP="00483520">
      <w:pPr>
        <w:pStyle w:val="dias"/>
        <w:rPr>
          <w:caps w:val="0"/>
          <w:color w:val="1F3864"/>
          <w:sz w:val="28"/>
          <w:szCs w:val="28"/>
        </w:rPr>
      </w:pPr>
    </w:p>
    <w:p w14:paraId="0B455123" w14:textId="77777777" w:rsidR="00E9246A" w:rsidRDefault="00E9246A" w:rsidP="00483520">
      <w:pPr>
        <w:pStyle w:val="dias"/>
        <w:rPr>
          <w:caps w:val="0"/>
          <w:color w:val="1F3864"/>
          <w:sz w:val="28"/>
          <w:szCs w:val="28"/>
        </w:rPr>
      </w:pPr>
    </w:p>
    <w:p w14:paraId="71C284A3" w14:textId="452DDB5D"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CA685CB" w:rsidR="00483520" w:rsidRDefault="00483520" w:rsidP="005F323D">
      <w:pPr>
        <w:pStyle w:val="vinetas"/>
        <w:jc w:val="both"/>
      </w:pPr>
      <w:r w:rsidRPr="005F323D">
        <w:t>Impuesto hotelero en Turquía por valor de USD 15 por persona, valor a pagar directamente en destino al guía.</w:t>
      </w:r>
    </w:p>
    <w:p w14:paraId="75EB0678" w14:textId="2259B7F1" w:rsidR="00E71E69" w:rsidRPr="00565E02" w:rsidRDefault="00E71E69" w:rsidP="00E71E69">
      <w:pPr>
        <w:pStyle w:val="vinetas"/>
        <w:ind w:left="714" w:hanging="357"/>
        <w:jc w:val="both"/>
      </w:pPr>
      <w:r w:rsidRPr="00565E02">
        <w:t xml:space="preserve">Tasa de Turismo en Dubái, </w:t>
      </w:r>
      <w:r>
        <w:t>20</w:t>
      </w:r>
      <w:r w:rsidRPr="00565E02">
        <w:t xml:space="preserve"> d</w:t>
      </w:r>
      <w:r>
        <w:t>írhams por habitación por noche, a pagar directo en el hotel.</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9C4E1A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E71E69">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760FE22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D33002">
        <w:rPr>
          <w:caps w:val="0"/>
          <w:color w:val="1F3864"/>
          <w:sz w:val="28"/>
          <w:szCs w:val="28"/>
        </w:rPr>
        <w:t>SÁBADO</w:t>
      </w:r>
      <w:r w:rsidRPr="0024788F">
        <w:rPr>
          <w:caps w:val="0"/>
          <w:color w:val="1F3864"/>
          <w:sz w:val="28"/>
          <w:szCs w:val="28"/>
        </w:rPr>
        <w:tab/>
      </w:r>
      <w:r w:rsidRPr="0024788F">
        <w:rPr>
          <w:caps w:val="0"/>
          <w:color w:val="1F3864"/>
          <w:sz w:val="28"/>
          <w:szCs w:val="28"/>
        </w:rPr>
        <w:tab/>
        <w:t xml:space="preserve">ESTAMBUL – </w:t>
      </w:r>
      <w:r w:rsidR="00E71E69">
        <w:rPr>
          <w:caps w:val="0"/>
          <w:color w:val="1F3864"/>
          <w:sz w:val="28"/>
          <w:szCs w:val="28"/>
        </w:rPr>
        <w:t>EL CAIRO</w:t>
      </w:r>
      <w:r w:rsidRPr="0024788F">
        <w:rPr>
          <w:caps w:val="0"/>
          <w:color w:val="1F3864"/>
          <w:sz w:val="28"/>
          <w:szCs w:val="28"/>
        </w:rPr>
        <w:t xml:space="preserve"> (VUELO INCLUIDO)</w:t>
      </w:r>
    </w:p>
    <w:p w14:paraId="3E3C61DD" w14:textId="4BCF45C6" w:rsidR="00483520" w:rsidRDefault="00483520" w:rsidP="00483520">
      <w:pPr>
        <w:pStyle w:val="itinerario"/>
      </w:pPr>
      <w:r w:rsidRPr="0024788F">
        <w:t xml:space="preserve">Llegada a Estambul y conexión con el vuelo TURKISH AIRLINES con destino </w:t>
      </w:r>
      <w:r w:rsidR="00D33002">
        <w:t>El Cairo</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rsidR="00D33002">
        <w:t>El Cairo</w:t>
      </w:r>
      <w:r>
        <w:t xml:space="preserve">, </w:t>
      </w:r>
      <w:r w:rsidR="00D33002">
        <w:t>recibimiento y traslado al hotel. A</w:t>
      </w:r>
      <w:r>
        <w:t>lojamiento.</w:t>
      </w:r>
    </w:p>
    <w:p w14:paraId="2E40C4B5" w14:textId="50A09C08" w:rsidR="005C0DC3" w:rsidRPr="0024788F" w:rsidRDefault="00FD7923" w:rsidP="005C0DC3">
      <w:pPr>
        <w:pStyle w:val="dias"/>
        <w:rPr>
          <w:color w:val="1F3864"/>
          <w:sz w:val="28"/>
          <w:szCs w:val="28"/>
        </w:rPr>
      </w:pPr>
      <w:bookmarkStart w:id="1" w:name="_Hlk148102185"/>
      <w:r w:rsidRPr="0024788F">
        <w:rPr>
          <w:caps w:val="0"/>
          <w:color w:val="1F3864"/>
          <w:sz w:val="28"/>
          <w:szCs w:val="28"/>
        </w:rPr>
        <w:t xml:space="preserve">DÍA </w:t>
      </w:r>
      <w:r w:rsidR="00D33002">
        <w:rPr>
          <w:caps w:val="0"/>
          <w:color w:val="1F3864"/>
          <w:sz w:val="28"/>
          <w:szCs w:val="28"/>
        </w:rPr>
        <w:t>3</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0D93E570" w14:textId="77777777" w:rsidR="00E9246A" w:rsidRDefault="00E9246A" w:rsidP="00CA3B8A">
      <w:pPr>
        <w:pStyle w:val="dias"/>
        <w:rPr>
          <w:color w:val="1F3864"/>
          <w:sz w:val="28"/>
          <w:szCs w:val="28"/>
        </w:rPr>
      </w:pPr>
    </w:p>
    <w:p w14:paraId="7A8D3D15" w14:textId="7D4650BA" w:rsidR="004F1673" w:rsidRPr="00CA3B8A" w:rsidRDefault="002C58F5" w:rsidP="00CA3B8A">
      <w:pPr>
        <w:pStyle w:val="dias"/>
        <w:rPr>
          <w:color w:val="1F3864"/>
          <w:sz w:val="28"/>
          <w:szCs w:val="28"/>
        </w:rPr>
      </w:pPr>
      <w:r w:rsidRPr="00CA3B8A">
        <w:rPr>
          <w:color w:val="1F3864"/>
          <w:sz w:val="28"/>
          <w:szCs w:val="28"/>
        </w:rPr>
        <w:lastRenderedPageBreak/>
        <w:t xml:space="preserve">DÍA </w:t>
      </w:r>
      <w:r w:rsidR="00D33002">
        <w:rPr>
          <w:color w:val="1F3864"/>
          <w:sz w:val="28"/>
          <w:szCs w:val="28"/>
        </w:rPr>
        <w:t>4</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5F13F973" w:rsidR="00797469" w:rsidRPr="002A68E0" w:rsidRDefault="00797469" w:rsidP="00797469">
      <w:pPr>
        <w:pStyle w:val="dias"/>
        <w:rPr>
          <w:color w:val="1F3864"/>
          <w:sz w:val="28"/>
          <w:szCs w:val="28"/>
        </w:rPr>
      </w:pPr>
      <w:r>
        <w:rPr>
          <w:caps w:val="0"/>
          <w:color w:val="1F3864"/>
          <w:sz w:val="28"/>
          <w:szCs w:val="28"/>
        </w:rPr>
        <w:t xml:space="preserve">DÍA </w:t>
      </w:r>
      <w:r w:rsidR="00D33002">
        <w:rPr>
          <w:caps w:val="0"/>
          <w:color w:val="1F3864"/>
          <w:sz w:val="28"/>
          <w:szCs w:val="28"/>
        </w:rPr>
        <w:t>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088F1469" w:rsidR="005C0DC3" w:rsidRPr="0024788F" w:rsidRDefault="00FD7923" w:rsidP="005C0DC3">
      <w:pPr>
        <w:pStyle w:val="dias"/>
        <w:rPr>
          <w:sz w:val="28"/>
          <w:szCs w:val="28"/>
        </w:rPr>
      </w:pPr>
      <w:r w:rsidRPr="0024788F">
        <w:rPr>
          <w:caps w:val="0"/>
          <w:color w:val="1F3864"/>
          <w:sz w:val="28"/>
          <w:szCs w:val="28"/>
        </w:rPr>
        <w:t xml:space="preserve">DÍA </w:t>
      </w:r>
      <w:r w:rsidR="00D33002">
        <w:rPr>
          <w:caps w:val="0"/>
          <w:color w:val="1F3864"/>
          <w:sz w:val="28"/>
          <w:szCs w:val="28"/>
        </w:rPr>
        <w:t>6</w:t>
      </w:r>
      <w:r w:rsidR="00D33002">
        <w:rPr>
          <w:caps w:val="0"/>
          <w:color w:val="1F3864"/>
          <w:sz w:val="28"/>
          <w:szCs w:val="28"/>
        </w:rPr>
        <w:tab/>
      </w:r>
      <w:r w:rsidR="00D33002">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E234F8F" w:rsidR="005C0DC3" w:rsidRPr="0024788F" w:rsidRDefault="00797469" w:rsidP="005C0DC3">
      <w:pPr>
        <w:pStyle w:val="dias"/>
        <w:rPr>
          <w:color w:val="1F3864"/>
          <w:sz w:val="28"/>
          <w:szCs w:val="28"/>
        </w:rPr>
      </w:pPr>
      <w:r>
        <w:rPr>
          <w:caps w:val="0"/>
          <w:color w:val="1F3864"/>
          <w:sz w:val="28"/>
          <w:szCs w:val="28"/>
        </w:rPr>
        <w:t xml:space="preserve">DÍA </w:t>
      </w:r>
      <w:r w:rsidR="00D33002">
        <w:rPr>
          <w:caps w:val="0"/>
          <w:color w:val="1F3864"/>
          <w:sz w:val="28"/>
          <w:szCs w:val="28"/>
        </w:rPr>
        <w:t>7</w:t>
      </w:r>
      <w:r w:rsidR="00D33002">
        <w:rPr>
          <w:caps w:val="0"/>
          <w:color w:val="1F3864"/>
          <w:sz w:val="28"/>
          <w:szCs w:val="28"/>
        </w:rPr>
        <w:tab/>
      </w:r>
      <w:r w:rsidR="00D33002">
        <w:rPr>
          <w:caps w:val="0"/>
          <w:color w:val="1F3864"/>
          <w:sz w:val="28"/>
          <w:szCs w:val="28"/>
        </w:rPr>
        <w:tab/>
      </w:r>
      <w:r>
        <w:rPr>
          <w:caps w:val="0"/>
          <w:color w:val="1F3864"/>
          <w:sz w:val="28"/>
          <w:szCs w:val="28"/>
        </w:rPr>
        <w:t>JUEVES</w:t>
      </w:r>
      <w:r w:rsidR="00FD7923" w:rsidRPr="0024788F">
        <w:rPr>
          <w:caps w:val="0"/>
          <w:color w:val="1F3864"/>
          <w:sz w:val="28"/>
          <w:szCs w:val="28"/>
        </w:rPr>
        <w:tab/>
      </w:r>
      <w:r w:rsidR="00FD7923" w:rsidRPr="0024788F">
        <w:rPr>
          <w:caps w:val="0"/>
          <w:color w:val="1F3864"/>
          <w:sz w:val="28"/>
          <w:szCs w:val="28"/>
        </w:rPr>
        <w:tab/>
        <w:t xml:space="preserve">LUXOR – EL CAIRO (VUELO </w:t>
      </w:r>
      <w:r w:rsidR="00FD7923" w:rsidRPr="00D33002">
        <w:rPr>
          <w:caps w:val="0"/>
          <w:color w:val="1F3864"/>
          <w:sz w:val="28"/>
          <w:szCs w:val="28"/>
        </w:rPr>
        <w:t>INCLUIDO</w:t>
      </w:r>
      <w:r w:rsidR="00FD7923" w:rsidRPr="0024788F">
        <w:rPr>
          <w:caps w:val="0"/>
          <w:color w:val="1F3864"/>
          <w:sz w:val="28"/>
          <w:szCs w:val="28"/>
        </w:rPr>
        <w:t>)</w:t>
      </w:r>
    </w:p>
    <w:p w14:paraId="27883B21" w14:textId="7DE4E976"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3400BED2" w14:textId="6B3ACFBA" w:rsidR="00D33002" w:rsidRPr="00D33002" w:rsidRDefault="00D33002" w:rsidP="00D33002">
      <w:pPr>
        <w:pStyle w:val="dias"/>
        <w:rPr>
          <w:color w:val="1F3864"/>
          <w:sz w:val="28"/>
          <w:szCs w:val="28"/>
        </w:rPr>
      </w:pPr>
      <w:r w:rsidRPr="00D33002">
        <w:rPr>
          <w:color w:val="1F3864"/>
          <w:sz w:val="28"/>
          <w:szCs w:val="28"/>
        </w:rPr>
        <w:t>DÍA 8</w:t>
      </w:r>
      <w:r w:rsidRPr="00D33002">
        <w:rPr>
          <w:color w:val="1F3864"/>
          <w:sz w:val="28"/>
          <w:szCs w:val="28"/>
        </w:rPr>
        <w:tab/>
      </w:r>
      <w:r>
        <w:rPr>
          <w:color w:val="1F3864"/>
          <w:sz w:val="28"/>
          <w:szCs w:val="28"/>
        </w:rPr>
        <w:tab/>
      </w:r>
      <w:r w:rsidRPr="00D33002">
        <w:rPr>
          <w:color w:val="1F3864"/>
          <w:sz w:val="28"/>
          <w:szCs w:val="28"/>
        </w:rPr>
        <w:t>VIERNES</w:t>
      </w:r>
      <w:r w:rsidRPr="00D33002">
        <w:rPr>
          <w:color w:val="1F3864"/>
          <w:sz w:val="28"/>
          <w:szCs w:val="28"/>
        </w:rPr>
        <w:tab/>
      </w:r>
      <w:r w:rsidRPr="00D33002">
        <w:rPr>
          <w:color w:val="1F3864"/>
          <w:sz w:val="28"/>
          <w:szCs w:val="28"/>
        </w:rPr>
        <w:tab/>
        <w:t xml:space="preserve">EL CAIRO – DUBÁI (VUELO INCLUIDO) </w:t>
      </w:r>
    </w:p>
    <w:p w14:paraId="1BA55A61" w14:textId="77777777" w:rsidR="00D33002" w:rsidRDefault="00D33002" w:rsidP="00D33002">
      <w:pPr>
        <w:pStyle w:val="itinerario"/>
      </w:pPr>
      <w:r>
        <w:t>Desayuno en el hotel. A la hora convenida, traslado al aeropuerto para tomar el vuelo con destino Dubái. A la llegada, recibimiento y traslado al hotel. Alojamiento.</w:t>
      </w:r>
    </w:p>
    <w:p w14:paraId="1F662254" w14:textId="26037A2E" w:rsidR="00D33002" w:rsidRPr="00D33002" w:rsidRDefault="00D33002" w:rsidP="00D33002">
      <w:pPr>
        <w:pStyle w:val="dias"/>
        <w:rPr>
          <w:color w:val="1F3864"/>
          <w:sz w:val="28"/>
          <w:szCs w:val="28"/>
        </w:rPr>
      </w:pPr>
      <w:r w:rsidRPr="00D33002">
        <w:rPr>
          <w:color w:val="1F3864"/>
          <w:sz w:val="28"/>
          <w:szCs w:val="28"/>
        </w:rPr>
        <w:t>DÍA 9</w:t>
      </w:r>
      <w:r w:rsidRPr="00D33002">
        <w:rPr>
          <w:color w:val="1F3864"/>
          <w:sz w:val="28"/>
          <w:szCs w:val="28"/>
        </w:rPr>
        <w:tab/>
      </w:r>
      <w:r>
        <w:rPr>
          <w:color w:val="1F3864"/>
          <w:sz w:val="28"/>
          <w:szCs w:val="28"/>
        </w:rPr>
        <w:tab/>
      </w:r>
      <w:r w:rsidRPr="00D33002">
        <w:rPr>
          <w:color w:val="1F3864"/>
          <w:sz w:val="28"/>
          <w:szCs w:val="28"/>
        </w:rPr>
        <w:t>SÁBADO</w:t>
      </w:r>
      <w:r w:rsidRPr="00D33002">
        <w:rPr>
          <w:color w:val="1F3864"/>
          <w:sz w:val="28"/>
          <w:szCs w:val="28"/>
        </w:rPr>
        <w:tab/>
      </w:r>
      <w:r w:rsidR="00352950">
        <w:rPr>
          <w:color w:val="1F3864"/>
          <w:sz w:val="28"/>
          <w:szCs w:val="28"/>
        </w:rPr>
        <w:tab/>
      </w:r>
      <w:r w:rsidRPr="00D33002">
        <w:rPr>
          <w:color w:val="1F3864"/>
          <w:sz w:val="28"/>
          <w:szCs w:val="28"/>
        </w:rPr>
        <w:t xml:space="preserve">DUBÁI </w:t>
      </w:r>
      <w:r w:rsidR="00B62D67">
        <w:rPr>
          <w:color w:val="1F3864"/>
          <w:sz w:val="28"/>
          <w:szCs w:val="28"/>
        </w:rPr>
        <w:t xml:space="preserve">CLÁSICO – </w:t>
      </w:r>
      <w:r w:rsidR="00B62D67" w:rsidRPr="00B62D67">
        <w:rPr>
          <w:color w:val="1F3864"/>
          <w:sz w:val="28"/>
          <w:szCs w:val="28"/>
        </w:rPr>
        <w:t>SAFARI EN 4X4 CON CENA BBQ</w:t>
      </w:r>
    </w:p>
    <w:p w14:paraId="2C3FC5DC" w14:textId="5617E408" w:rsidR="00D33002" w:rsidRDefault="00B62D67" w:rsidP="00D33002">
      <w:pPr>
        <w:pStyle w:val="itinerario"/>
      </w:pPr>
      <w:r w:rsidRPr="00B62D67">
        <w:t>Desayuno en el hotel. Realizaremos un recorrido que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Alojamiento.</w:t>
      </w:r>
    </w:p>
    <w:p w14:paraId="0F00E6BE" w14:textId="77777777" w:rsidR="00B62D67" w:rsidRDefault="00B62D67" w:rsidP="00B62D67">
      <w:pPr>
        <w:pStyle w:val="dias"/>
        <w:jc w:val="both"/>
        <w:rPr>
          <w:b w:val="0"/>
          <w:bCs w:val="0"/>
          <w:caps w:val="0"/>
          <w:sz w:val="22"/>
          <w:szCs w:val="22"/>
        </w:rPr>
      </w:pPr>
      <w:r w:rsidRPr="00B62D67">
        <w:rPr>
          <w:b w:val="0"/>
          <w:bCs w:val="0"/>
          <w:caps w:val="0"/>
          <w:sz w:val="22"/>
          <w:szCs w:val="22"/>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sidRPr="00B62D67">
        <w:rPr>
          <w:caps w:val="0"/>
          <w:color w:val="1F3864"/>
          <w:sz w:val="22"/>
          <w:szCs w:val="22"/>
        </w:rPr>
        <w:t xml:space="preserve">cena </w:t>
      </w:r>
      <w:r w:rsidRPr="00B62D67">
        <w:rPr>
          <w:b w:val="0"/>
          <w:bCs w:val="0"/>
          <w:caps w:val="0"/>
          <w:sz w:val="22"/>
          <w:szCs w:val="22"/>
        </w:rPr>
        <w:t>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07C8C84C" w14:textId="77777777" w:rsidR="00E9246A" w:rsidRDefault="00E9246A" w:rsidP="00D33002">
      <w:pPr>
        <w:pStyle w:val="dias"/>
        <w:rPr>
          <w:color w:val="1F3864"/>
          <w:sz w:val="28"/>
          <w:szCs w:val="28"/>
        </w:rPr>
      </w:pPr>
    </w:p>
    <w:p w14:paraId="17EBF0A1" w14:textId="77777777" w:rsidR="00E9246A" w:rsidRDefault="00E9246A" w:rsidP="00D33002">
      <w:pPr>
        <w:pStyle w:val="dias"/>
        <w:rPr>
          <w:color w:val="1F3864"/>
          <w:sz w:val="28"/>
          <w:szCs w:val="28"/>
        </w:rPr>
      </w:pPr>
    </w:p>
    <w:p w14:paraId="7B2B002B" w14:textId="77777777" w:rsidR="00E9246A" w:rsidRDefault="00E9246A" w:rsidP="00D33002">
      <w:pPr>
        <w:pStyle w:val="dias"/>
        <w:rPr>
          <w:color w:val="1F3864"/>
          <w:sz w:val="28"/>
          <w:szCs w:val="28"/>
        </w:rPr>
      </w:pPr>
    </w:p>
    <w:p w14:paraId="49356CD8" w14:textId="77777777" w:rsidR="00E9246A" w:rsidRDefault="00E9246A" w:rsidP="00D33002">
      <w:pPr>
        <w:pStyle w:val="dias"/>
        <w:rPr>
          <w:color w:val="1F3864"/>
          <w:sz w:val="28"/>
          <w:szCs w:val="28"/>
        </w:rPr>
      </w:pPr>
    </w:p>
    <w:p w14:paraId="50A17B36" w14:textId="3BB27B6A" w:rsidR="00D33002" w:rsidRPr="00D33002" w:rsidRDefault="00D33002" w:rsidP="00D33002">
      <w:pPr>
        <w:pStyle w:val="dias"/>
        <w:rPr>
          <w:rStyle w:val="diasCar"/>
          <w:color w:val="1F3864"/>
          <w:sz w:val="28"/>
          <w:szCs w:val="28"/>
        </w:rPr>
      </w:pPr>
      <w:r w:rsidRPr="00D33002">
        <w:rPr>
          <w:color w:val="1F3864"/>
          <w:sz w:val="28"/>
          <w:szCs w:val="28"/>
        </w:rPr>
        <w:lastRenderedPageBreak/>
        <w:t>DÍA 1</w:t>
      </w:r>
      <w:r w:rsidR="00BF4F5F">
        <w:rPr>
          <w:color w:val="1F3864"/>
          <w:sz w:val="28"/>
          <w:szCs w:val="28"/>
        </w:rPr>
        <w:t>0</w:t>
      </w:r>
      <w:r w:rsidRPr="00D33002">
        <w:rPr>
          <w:color w:val="1F3864"/>
          <w:sz w:val="28"/>
          <w:szCs w:val="28"/>
        </w:rPr>
        <w:tab/>
      </w:r>
      <w:r w:rsidR="00BF4F5F">
        <w:rPr>
          <w:color w:val="1F3864"/>
          <w:sz w:val="28"/>
          <w:szCs w:val="28"/>
        </w:rPr>
        <w:t>DOMINGO</w:t>
      </w:r>
      <w:r w:rsidR="00352950">
        <w:rPr>
          <w:color w:val="1F3864"/>
          <w:sz w:val="28"/>
          <w:szCs w:val="28"/>
        </w:rPr>
        <w:tab/>
      </w:r>
      <w:r w:rsidR="00352950">
        <w:rPr>
          <w:color w:val="1F3864"/>
          <w:sz w:val="28"/>
          <w:szCs w:val="28"/>
        </w:rPr>
        <w:tab/>
      </w:r>
      <w:r w:rsidRPr="0073446F">
        <w:rPr>
          <w:color w:val="1F3864"/>
          <w:sz w:val="28"/>
          <w:szCs w:val="28"/>
        </w:rPr>
        <w:t xml:space="preserve">DUBÁI </w:t>
      </w:r>
    </w:p>
    <w:p w14:paraId="0EF64E7D" w14:textId="0BF74DBF" w:rsidR="00BF4F5F" w:rsidRDefault="00D33002" w:rsidP="008242A3">
      <w:pPr>
        <w:pStyle w:val="itinerario"/>
      </w:pPr>
      <w:r>
        <w:t xml:space="preserve">Desayuno en el hotel. En la mañana se podrá realizar una visita </w:t>
      </w:r>
      <w:r w:rsidRPr="00352950">
        <w:rPr>
          <w:b/>
          <w:bCs/>
          <w:color w:val="1F3864"/>
        </w:rPr>
        <w:t>OPCIONAL</w:t>
      </w:r>
      <w:r>
        <w:t xml:space="preserve"> </w:t>
      </w:r>
      <w:r w:rsidR="00B62D67" w:rsidRPr="00B62D67">
        <w:t xml:space="preserve">de medio día a la parte más moderna de la ciudad, </w:t>
      </w:r>
      <w:r w:rsidR="00B62D67">
        <w:t xml:space="preserve">o </w:t>
      </w:r>
      <w:r w:rsidR="008242A3">
        <w:t>al Mirador de Dubái (Frame) o entrar al Burj Khalifa</w:t>
      </w:r>
      <w:r w:rsidR="007205EB">
        <w:t xml:space="preserve"> o visitar el Museo del Futuro</w:t>
      </w:r>
      <w:r w:rsidR="008242A3">
        <w:t>.</w:t>
      </w:r>
      <w:r w:rsidR="00BF4F5F">
        <w:t xml:space="preserve"> </w:t>
      </w:r>
      <w:r w:rsidR="00E9246A" w:rsidRPr="00E9246A">
        <w:t>Por la noche se podrá realizar un crucero</w:t>
      </w:r>
      <w:r w:rsidR="00E9246A" w:rsidRPr="0073446F">
        <w:rPr>
          <w:color w:val="1F3864"/>
        </w:rPr>
        <w:t xml:space="preserve"> </w:t>
      </w:r>
      <w:r w:rsidR="00E9246A" w:rsidRPr="0073446F">
        <w:rPr>
          <w:b/>
          <w:bCs/>
          <w:color w:val="1F3864"/>
        </w:rPr>
        <w:t xml:space="preserve">OPCIONAL </w:t>
      </w:r>
      <w:r w:rsidR="00E9246A" w:rsidRPr="00E9246A">
        <w:t>en un barco tradicional, Dhaw Cruise, con cena</w:t>
      </w:r>
    </w:p>
    <w:p w14:paraId="71D428D8" w14:textId="77777777" w:rsidR="00B62D67" w:rsidRDefault="00B62D67" w:rsidP="00D33002">
      <w:pPr>
        <w:pStyle w:val="itinerario"/>
      </w:pPr>
    </w:p>
    <w:p w14:paraId="68C31E2D" w14:textId="215E9C89" w:rsidR="00B62D67" w:rsidRDefault="00B62D67" w:rsidP="00D33002">
      <w:pPr>
        <w:pStyle w:val="itinerario"/>
      </w:pPr>
      <w:r w:rsidRPr="00BF4F5F">
        <w:rPr>
          <w:b/>
          <w:bCs/>
          <w:color w:val="1F3864"/>
        </w:rPr>
        <w:t>Dubái Moderno:</w:t>
      </w:r>
      <w:r w:rsidRPr="00BF4F5F">
        <w:rPr>
          <w:color w:val="1F3864"/>
        </w:rPr>
        <w:t xml:space="preserve"> </w:t>
      </w:r>
      <w:r w:rsidRPr="00B62D67">
        <w:t xml:space="preserve">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(entrada NO incluida) el edificio más alto del mundo. Posibilidad de quedarse en el </w:t>
      </w:r>
      <w:r w:rsidR="008242A3">
        <w:t>Dubái</w:t>
      </w:r>
      <w:r w:rsidRPr="00B62D67">
        <w:t xml:space="preserve"> Mall para disfrutar de las fuentes de aguas danzantes, acuario, pista de patinaje sobre hielo y sus más de 1000 tiendas. Vuelta al hotel por su cuenta. </w:t>
      </w:r>
    </w:p>
    <w:p w14:paraId="5F54B282" w14:textId="77777777" w:rsidR="00E9246A" w:rsidRDefault="00E9246A" w:rsidP="00E9246A">
      <w:pPr>
        <w:pStyle w:val="itinerario"/>
        <w:rPr>
          <w:b/>
          <w:bCs/>
          <w:color w:val="1F3864"/>
        </w:rPr>
      </w:pPr>
    </w:p>
    <w:p w14:paraId="3873755C" w14:textId="66AEEA05" w:rsidR="00E9246A" w:rsidRDefault="00E9246A" w:rsidP="00E9246A">
      <w:pPr>
        <w:pStyle w:val="itinerario"/>
      </w:pPr>
      <w:r w:rsidRPr="00E9246A">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Horario normal de 8:30 a 23:00.</w:t>
      </w:r>
    </w:p>
    <w:p w14:paraId="7269F46E" w14:textId="77777777" w:rsidR="00E9246A" w:rsidRDefault="00E9246A" w:rsidP="00D33002">
      <w:pPr>
        <w:pStyle w:val="itinerario"/>
        <w:rPr>
          <w:b/>
          <w:bCs/>
          <w:color w:val="1F3864"/>
        </w:rPr>
      </w:pPr>
    </w:p>
    <w:p w14:paraId="106613CF" w14:textId="4F510642" w:rsidR="008242A3" w:rsidRDefault="008242A3" w:rsidP="00D33002">
      <w:pPr>
        <w:pStyle w:val="itinerario"/>
      </w:pPr>
      <w:r w:rsidRPr="008242A3">
        <w:rPr>
          <w:b/>
          <w:bCs/>
          <w:color w:val="1F3864"/>
        </w:rPr>
        <w:t>Mirador de Dubái:</w:t>
      </w:r>
      <w:r w:rsidRPr="008242A3">
        <w:rPr>
          <w:color w:val="1F3864"/>
        </w:rPr>
        <w:t xml:space="preserve"> </w:t>
      </w:r>
      <w:r w:rsidRPr="008242A3">
        <w:t>Espectacular mirador donde se ve el Dubái moderno y antiguo, y lo completas con un suelo de cristal que parece que te vas a caer, Dubái Frame</w:t>
      </w:r>
      <w:r>
        <w:t xml:space="preserve"> </w:t>
      </w:r>
      <w:r w:rsidRPr="008242A3">
        <w:t>tiene un museo y una galería donde puedes ver el crecimiento de Dubái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Dubái y, por otro lado, el nuevo y moderno Dubái.</w:t>
      </w:r>
    </w:p>
    <w:p w14:paraId="695BABDC" w14:textId="77777777" w:rsidR="00BF4F5F" w:rsidRDefault="00BF4F5F" w:rsidP="00BF4F5F">
      <w:pPr>
        <w:pStyle w:val="itinerario"/>
      </w:pPr>
    </w:p>
    <w:p w14:paraId="7CDD17F3" w14:textId="09D614A8" w:rsidR="00BF4F5F" w:rsidRDefault="00BF4F5F" w:rsidP="00BF4F5F">
      <w:pPr>
        <w:pStyle w:val="itinerario"/>
      </w:pPr>
      <w:r w:rsidRPr="00BF4F5F">
        <w:rPr>
          <w:b/>
          <w:bCs/>
          <w:color w:val="1F3864"/>
        </w:rPr>
        <w:t>Dhaw Cruise</w:t>
      </w:r>
      <w:r w:rsidRPr="00BF4F5F">
        <w:t xml:space="preserve"> </w:t>
      </w:r>
      <w:r w:rsidRPr="00E9246A">
        <w:rPr>
          <w:b/>
          <w:bCs/>
          <w:color w:val="1F3864"/>
        </w:rPr>
        <w:t>con cena</w:t>
      </w:r>
      <w:r w:rsidRPr="00BF4F5F">
        <w:t>: Por la noche salida para disfrutar de la experiencia de las vistas y sonidos de la cala de Dubái, navegando dos horas a bordo de un Dhow tradicional. Su viaje le llevara desde la desembocadura del arroyo, y a lo largo del mismo, hasta el iluminado Dubái Creek Golf Club, que se asemeja a unas velas de barco. Cena buffet incluido. Regreso al hotel. Alojamiento.</w:t>
      </w:r>
    </w:p>
    <w:p w14:paraId="15EEB7C5" w14:textId="79AC5EAF" w:rsidR="00BF4F5F" w:rsidRPr="00D33002" w:rsidRDefault="0073446F" w:rsidP="00BF4F5F">
      <w:pPr>
        <w:pStyle w:val="dias"/>
        <w:rPr>
          <w:color w:val="1F3864"/>
          <w:sz w:val="28"/>
          <w:szCs w:val="28"/>
        </w:rPr>
      </w:pPr>
      <w:r w:rsidRPr="00D33002">
        <w:rPr>
          <w:caps w:val="0"/>
          <w:color w:val="1F3864"/>
          <w:sz w:val="28"/>
          <w:szCs w:val="28"/>
        </w:rPr>
        <w:t xml:space="preserve">DÍA </w:t>
      </w:r>
      <w:r>
        <w:rPr>
          <w:caps w:val="0"/>
          <w:color w:val="1F3864"/>
          <w:sz w:val="28"/>
          <w:szCs w:val="28"/>
        </w:rPr>
        <w:t>11</w:t>
      </w:r>
      <w:r>
        <w:rPr>
          <w:caps w:val="0"/>
          <w:color w:val="1F3864"/>
          <w:sz w:val="28"/>
          <w:szCs w:val="28"/>
        </w:rPr>
        <w:tab/>
        <w:t>LUNES</w:t>
      </w:r>
      <w:r w:rsidRPr="00D33002">
        <w:rPr>
          <w:caps w:val="0"/>
          <w:color w:val="1F3864"/>
          <w:sz w:val="28"/>
          <w:szCs w:val="28"/>
        </w:rPr>
        <w:tab/>
      </w:r>
      <w:r w:rsidRPr="00D33002">
        <w:rPr>
          <w:caps w:val="0"/>
          <w:color w:val="1F3864"/>
          <w:sz w:val="28"/>
          <w:szCs w:val="28"/>
        </w:rPr>
        <w:tab/>
        <w:t>DUBÁI</w:t>
      </w:r>
      <w:r>
        <w:rPr>
          <w:caps w:val="0"/>
          <w:color w:val="1F3864"/>
          <w:sz w:val="28"/>
          <w:szCs w:val="28"/>
        </w:rPr>
        <w:t xml:space="preserve"> – ABU DHABI – DUBÁI </w:t>
      </w:r>
      <w:r w:rsidRPr="00D33002">
        <w:rPr>
          <w:caps w:val="0"/>
          <w:color w:val="1F3864"/>
          <w:sz w:val="28"/>
          <w:szCs w:val="28"/>
        </w:rPr>
        <w:tab/>
      </w:r>
    </w:p>
    <w:p w14:paraId="020CCE45" w14:textId="74E32002" w:rsidR="00BF4F5F" w:rsidRDefault="00BF4F5F" w:rsidP="00BF4F5F">
      <w:pPr>
        <w:pStyle w:val="itinerario"/>
      </w:pPr>
      <w:r w:rsidRPr="00F0432F">
        <w:t xml:space="preserve">Desayuno </w:t>
      </w:r>
      <w:r>
        <w:t>en el hotel. Salida en un r</w:t>
      </w:r>
      <w:r w:rsidRPr="00E67764">
        <w:t xml:space="preserve">ecorrido de 2 horas desde Dubái, pasando por el puerto Jebel Ali, el puerto más grande del mundo realizado por los hombres, hasta la capital de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Área, donde se encuentran los palacios de la familia Real.  </w:t>
      </w:r>
      <w:r>
        <w:t xml:space="preserve">Regreso a Dubái. </w:t>
      </w:r>
    </w:p>
    <w:p w14:paraId="44905C5E" w14:textId="77777777" w:rsidR="00B62D67" w:rsidRDefault="00B62D67" w:rsidP="00D33002">
      <w:pPr>
        <w:pStyle w:val="itinerario"/>
      </w:pPr>
    </w:p>
    <w:p w14:paraId="1EE1B1DE" w14:textId="15F1652D" w:rsidR="00D33002" w:rsidRDefault="00D33002" w:rsidP="00D33002">
      <w:pPr>
        <w:pStyle w:val="itinerario"/>
      </w:pPr>
      <w:r>
        <w:t xml:space="preserve"> A la hora indicada traslado al aeropuerto para tomar el vuelo después de medianoche. </w:t>
      </w:r>
    </w:p>
    <w:p w14:paraId="5371547C" w14:textId="77777777" w:rsidR="00D33002" w:rsidRDefault="00D33002" w:rsidP="00D33002">
      <w:pPr>
        <w:pStyle w:val="itinerario"/>
      </w:pPr>
    </w:p>
    <w:p w14:paraId="3DC2F3C9" w14:textId="77777777" w:rsidR="00D33002" w:rsidRDefault="00D33002" w:rsidP="00D33002">
      <w:pPr>
        <w:pStyle w:val="itinerario"/>
      </w:pPr>
      <w:r w:rsidRPr="00352950">
        <w:rPr>
          <w:b/>
          <w:bCs/>
          <w:color w:val="1F3864"/>
        </w:rPr>
        <w:t>Nota:</w:t>
      </w:r>
      <w:r w:rsidRPr="00352950">
        <w:rPr>
          <w:color w:val="1F3864"/>
        </w:rPr>
        <w:t xml:space="preserve"> </w:t>
      </w:r>
      <w:r>
        <w:t>El registro de salida del hotel deberá ser antes de las 12:00 del mediodía.</w:t>
      </w:r>
    </w:p>
    <w:p w14:paraId="32EDD091" w14:textId="77777777" w:rsidR="00E9246A" w:rsidRDefault="00E9246A" w:rsidP="00D33002">
      <w:pPr>
        <w:pStyle w:val="dias"/>
        <w:rPr>
          <w:color w:val="1F3864"/>
          <w:sz w:val="28"/>
          <w:szCs w:val="28"/>
        </w:rPr>
      </w:pPr>
    </w:p>
    <w:p w14:paraId="7B0F3E95" w14:textId="219D846B" w:rsidR="00D33002" w:rsidRPr="00D33002" w:rsidRDefault="00D33002" w:rsidP="00D33002">
      <w:pPr>
        <w:pStyle w:val="dias"/>
        <w:rPr>
          <w:color w:val="1F3864"/>
          <w:sz w:val="28"/>
          <w:szCs w:val="28"/>
        </w:rPr>
      </w:pPr>
      <w:r w:rsidRPr="00D33002">
        <w:rPr>
          <w:color w:val="1F3864"/>
          <w:sz w:val="28"/>
          <w:szCs w:val="28"/>
        </w:rPr>
        <w:lastRenderedPageBreak/>
        <w:t>DÍA 12</w:t>
      </w:r>
      <w:r w:rsidRPr="00D33002">
        <w:rPr>
          <w:color w:val="1F3864"/>
          <w:sz w:val="28"/>
          <w:szCs w:val="28"/>
        </w:rPr>
        <w:tab/>
        <w:t>MARTES</w:t>
      </w:r>
      <w:r w:rsidRPr="00D33002">
        <w:rPr>
          <w:color w:val="1F3864"/>
          <w:sz w:val="28"/>
          <w:szCs w:val="28"/>
        </w:rPr>
        <w:tab/>
      </w:r>
      <w:r w:rsidRPr="00D33002">
        <w:rPr>
          <w:color w:val="1F3864"/>
          <w:sz w:val="28"/>
          <w:szCs w:val="28"/>
        </w:rPr>
        <w:tab/>
        <w:t xml:space="preserve">DUBÁI – ESTAMBUL </w:t>
      </w:r>
    </w:p>
    <w:p w14:paraId="6E47DB13" w14:textId="79095D62" w:rsidR="000922EE" w:rsidRDefault="00D33002" w:rsidP="000922EE">
      <w:pPr>
        <w:pStyle w:val="itinerario"/>
      </w:pPr>
      <w:r>
        <w:t xml:space="preserve">Salida en el vuelo de TURKISH AIRLINES </w:t>
      </w:r>
      <w:r w:rsidR="00526D3C">
        <w:t>con destino Estambul.</w:t>
      </w:r>
      <w:r w:rsidR="00526D3C" w:rsidRPr="0024788F">
        <w:t xml:space="preserve"> A la llegada, recibimiento y </w:t>
      </w:r>
      <w:r w:rsidR="00526D3C">
        <w:t>traslado al hotel. Alojamiento</w:t>
      </w:r>
      <w:r>
        <w:t>.</w:t>
      </w:r>
    </w:p>
    <w:p w14:paraId="77506791" w14:textId="62A22653" w:rsidR="00D33002" w:rsidRDefault="00D33002" w:rsidP="000922EE">
      <w:pPr>
        <w:pStyle w:val="itinerario"/>
      </w:pPr>
    </w:p>
    <w:p w14:paraId="3AA3C2C0" w14:textId="77777777" w:rsidR="00D33002" w:rsidRDefault="00D33002" w:rsidP="00D33002">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402875C7" w14:textId="7C6B75B6" w:rsidR="00526D3C" w:rsidRPr="006E1BB0" w:rsidRDefault="00D33002" w:rsidP="00526D3C">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MIÉRCOLES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6B091620" w14:textId="2CA2E553" w:rsidR="00B56651" w:rsidRPr="0024788F" w:rsidRDefault="00FD7923" w:rsidP="009F72BF">
      <w:pPr>
        <w:pStyle w:val="dias"/>
        <w:rPr>
          <w:color w:val="1F3864"/>
          <w:sz w:val="28"/>
          <w:szCs w:val="28"/>
        </w:rPr>
      </w:pPr>
      <w:r w:rsidRPr="0024788F">
        <w:rPr>
          <w:caps w:val="0"/>
          <w:color w:val="1F3864"/>
          <w:sz w:val="28"/>
          <w:szCs w:val="28"/>
        </w:rPr>
        <w:t>DÍA 1</w:t>
      </w:r>
      <w:r w:rsidR="00D33002">
        <w:rPr>
          <w:caps w:val="0"/>
          <w:color w:val="1F3864"/>
          <w:sz w:val="28"/>
          <w:szCs w:val="28"/>
        </w:rPr>
        <w:t>4</w:t>
      </w:r>
      <w:r w:rsidRPr="0024788F">
        <w:rPr>
          <w:caps w:val="0"/>
          <w:color w:val="1F3864"/>
          <w:sz w:val="28"/>
          <w:szCs w:val="28"/>
        </w:rPr>
        <w:tab/>
      </w:r>
      <w:r w:rsidR="00D33002">
        <w:rPr>
          <w:caps w:val="0"/>
          <w:color w:val="1F3864"/>
          <w:sz w:val="28"/>
          <w:szCs w:val="28"/>
        </w:rPr>
        <w:t>JUEVES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575294BD" w14:textId="77777777" w:rsidR="00E9246A" w:rsidRDefault="00E9246A" w:rsidP="00041160">
      <w:pPr>
        <w:pStyle w:val="dias"/>
        <w:rPr>
          <w:color w:val="1F3864"/>
          <w:sz w:val="28"/>
          <w:szCs w:val="28"/>
        </w:rPr>
      </w:pPr>
    </w:p>
    <w:p w14:paraId="081ED708" w14:textId="77777777" w:rsidR="00E9246A" w:rsidRDefault="00E9246A" w:rsidP="00041160">
      <w:pPr>
        <w:pStyle w:val="dias"/>
        <w:rPr>
          <w:color w:val="1F3864"/>
          <w:sz w:val="28"/>
          <w:szCs w:val="28"/>
        </w:rPr>
      </w:pPr>
    </w:p>
    <w:p w14:paraId="0B69535B" w14:textId="77777777" w:rsidR="00E9246A" w:rsidRDefault="00E9246A" w:rsidP="00041160">
      <w:pPr>
        <w:pStyle w:val="dias"/>
        <w:rPr>
          <w:color w:val="1F3864"/>
          <w:sz w:val="28"/>
          <w:szCs w:val="28"/>
        </w:rPr>
      </w:pPr>
    </w:p>
    <w:p w14:paraId="044CC178" w14:textId="77777777" w:rsidR="00E9246A" w:rsidRDefault="00E9246A" w:rsidP="00041160">
      <w:pPr>
        <w:pStyle w:val="dias"/>
        <w:rPr>
          <w:color w:val="1F3864"/>
          <w:sz w:val="28"/>
          <w:szCs w:val="28"/>
        </w:rPr>
      </w:pPr>
    </w:p>
    <w:p w14:paraId="0A9C9AFC" w14:textId="77777777" w:rsidR="00E9246A" w:rsidRDefault="00E9246A" w:rsidP="00041160">
      <w:pPr>
        <w:pStyle w:val="dias"/>
        <w:rPr>
          <w:color w:val="1F3864"/>
          <w:sz w:val="28"/>
          <w:szCs w:val="28"/>
        </w:rPr>
      </w:pPr>
    </w:p>
    <w:p w14:paraId="507C8A70" w14:textId="0FA6BC90" w:rsidR="00041160" w:rsidRDefault="00041160" w:rsidP="00041160">
      <w:pPr>
        <w:pStyle w:val="dias"/>
        <w:rPr>
          <w:color w:val="1F3864"/>
          <w:sz w:val="28"/>
          <w:szCs w:val="28"/>
        </w:rPr>
      </w:pPr>
      <w:r w:rsidRPr="00AF337B">
        <w:rPr>
          <w:color w:val="1F3864"/>
          <w:sz w:val="28"/>
          <w:szCs w:val="28"/>
        </w:rPr>
        <w:lastRenderedPageBreak/>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7A25DB">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3269F1" w14:paraId="44E21C2A" w14:textId="77777777" w:rsidTr="007A25DB">
        <w:tc>
          <w:tcPr>
            <w:tcW w:w="3355" w:type="dxa"/>
          </w:tcPr>
          <w:p w14:paraId="53B91FC4" w14:textId="611943ED" w:rsidR="003269F1" w:rsidRPr="0064360F" w:rsidRDefault="003269F1" w:rsidP="003269F1">
            <w:pPr>
              <w:jc w:val="center"/>
            </w:pPr>
            <w:r w:rsidRPr="000C0060">
              <w:t xml:space="preserve"> 18.390.000   </w:t>
            </w:r>
          </w:p>
        </w:tc>
        <w:tc>
          <w:tcPr>
            <w:tcW w:w="3355" w:type="dxa"/>
          </w:tcPr>
          <w:p w14:paraId="000476CD" w14:textId="0BB497A7" w:rsidR="003269F1" w:rsidRDefault="003269F1" w:rsidP="003269F1">
            <w:pPr>
              <w:jc w:val="center"/>
            </w:pPr>
            <w:r w:rsidRPr="000C0060">
              <w:t xml:space="preserve"> 18.390.000   </w:t>
            </w:r>
          </w:p>
        </w:tc>
        <w:tc>
          <w:tcPr>
            <w:tcW w:w="3355" w:type="dxa"/>
          </w:tcPr>
          <w:p w14:paraId="464E4CB8" w14:textId="3B8ADFDD" w:rsidR="003269F1" w:rsidRDefault="003269F1" w:rsidP="003269F1">
            <w:pPr>
              <w:jc w:val="center"/>
            </w:pPr>
            <w:r>
              <w:t>22.850.000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6F7EAC" w14:paraId="39A6540D" w14:textId="77777777" w:rsidTr="006E767E">
        <w:trPr>
          <w:trHeight w:val="145"/>
        </w:trPr>
        <w:tc>
          <w:tcPr>
            <w:tcW w:w="3355" w:type="dxa"/>
          </w:tcPr>
          <w:p w14:paraId="6E381C31" w14:textId="32631962" w:rsidR="006F7EAC" w:rsidRPr="0064360F" w:rsidRDefault="006F7EAC" w:rsidP="006F7EAC">
            <w:pPr>
              <w:jc w:val="center"/>
            </w:pPr>
            <w:r w:rsidRPr="00113F39">
              <w:t xml:space="preserve"> 4.320   </w:t>
            </w:r>
          </w:p>
        </w:tc>
        <w:tc>
          <w:tcPr>
            <w:tcW w:w="3355" w:type="dxa"/>
          </w:tcPr>
          <w:p w14:paraId="799E6BCC" w14:textId="68A73E84" w:rsidR="006F7EAC" w:rsidRDefault="006F7EAC" w:rsidP="006F7EAC">
            <w:pPr>
              <w:jc w:val="center"/>
            </w:pPr>
            <w:r w:rsidRPr="00113F39">
              <w:t xml:space="preserve"> 4.320   </w:t>
            </w:r>
          </w:p>
        </w:tc>
        <w:tc>
          <w:tcPr>
            <w:tcW w:w="3355" w:type="dxa"/>
          </w:tcPr>
          <w:p w14:paraId="4D9A75CF" w14:textId="528EC65A" w:rsidR="006F7EAC" w:rsidRDefault="006F7EAC" w:rsidP="006F7EAC">
            <w:pPr>
              <w:jc w:val="center"/>
            </w:pPr>
            <w:r>
              <w:t>5.</w:t>
            </w:r>
            <w:r w:rsidR="006E767E">
              <w:t>355</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43712B73"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3B9A46C7" w:rsidR="004D58D0" w:rsidRPr="000A7EA2" w:rsidRDefault="004D58D0" w:rsidP="00161405">
            <w:pPr>
              <w:jc w:val="center"/>
              <w:rPr>
                <w:b/>
                <w:color w:val="FFFFFF" w:themeColor="background1"/>
                <w:sz w:val="28"/>
                <w:szCs w:val="28"/>
              </w:rPr>
            </w:pPr>
            <w:r>
              <w:rPr>
                <w:b/>
                <w:color w:val="FFFFFF" w:themeColor="background1"/>
                <w:sz w:val="28"/>
                <w:szCs w:val="28"/>
              </w:rPr>
              <w:t>Suplemento</w:t>
            </w:r>
          </w:p>
        </w:tc>
      </w:tr>
      <w:tr w:rsidR="00934C3B" w:rsidRPr="000A7EA2" w14:paraId="665B5053" w14:textId="77777777" w:rsidTr="0041196D">
        <w:tc>
          <w:tcPr>
            <w:tcW w:w="5030" w:type="dxa"/>
            <w:shd w:val="clear" w:color="auto" w:fill="auto"/>
          </w:tcPr>
          <w:p w14:paraId="4D707AF4" w14:textId="77777777" w:rsidR="00934C3B" w:rsidRDefault="00934C3B" w:rsidP="00934C3B">
            <w:pPr>
              <w:jc w:val="center"/>
            </w:pPr>
            <w:r w:rsidRPr="00A1206C">
              <w:t>De 4.</w:t>
            </w:r>
            <w:r>
              <w:t>2</w:t>
            </w:r>
            <w:r w:rsidRPr="00A1206C">
              <w:t>01 a 4.</w:t>
            </w:r>
            <w:r>
              <w:t>3</w:t>
            </w:r>
            <w:r w:rsidRPr="00A1206C">
              <w:t>00</w:t>
            </w:r>
          </w:p>
        </w:tc>
        <w:tc>
          <w:tcPr>
            <w:tcW w:w="5030" w:type="dxa"/>
          </w:tcPr>
          <w:p w14:paraId="6F29CBB0" w14:textId="591E2B49" w:rsidR="00934C3B" w:rsidRPr="00313091" w:rsidRDefault="00934C3B" w:rsidP="00934C3B">
            <w:pPr>
              <w:jc w:val="center"/>
            </w:pPr>
            <w:r w:rsidRPr="00B1104B">
              <w:t>1</w:t>
            </w:r>
            <w:r>
              <w:t>35.000</w:t>
            </w:r>
          </w:p>
        </w:tc>
      </w:tr>
      <w:tr w:rsidR="00934C3B" w:rsidRPr="000A7EA2" w14:paraId="000696FC" w14:textId="77777777" w:rsidTr="0041196D">
        <w:tc>
          <w:tcPr>
            <w:tcW w:w="5030" w:type="dxa"/>
            <w:shd w:val="clear" w:color="auto" w:fill="auto"/>
            <w:vAlign w:val="center"/>
          </w:tcPr>
          <w:p w14:paraId="58257B09" w14:textId="77777777" w:rsidR="00934C3B" w:rsidRPr="00E63496" w:rsidRDefault="00934C3B" w:rsidP="00934C3B">
            <w:pPr>
              <w:jc w:val="center"/>
            </w:pPr>
            <w:r>
              <w:t xml:space="preserve">De </w:t>
            </w:r>
            <w:r w:rsidRPr="00FD3890">
              <w:t>4</w:t>
            </w:r>
            <w:r>
              <w:t>.</w:t>
            </w:r>
            <w:r w:rsidRPr="00FD3890">
              <w:t>301 a 4</w:t>
            </w:r>
            <w:r>
              <w:t>.</w:t>
            </w:r>
            <w:r w:rsidRPr="00FD3890">
              <w:t>400</w:t>
            </w:r>
          </w:p>
        </w:tc>
        <w:tc>
          <w:tcPr>
            <w:tcW w:w="5030" w:type="dxa"/>
          </w:tcPr>
          <w:p w14:paraId="30EDDDEA" w14:textId="0E1AA59E" w:rsidR="00934C3B" w:rsidRPr="006C2B14" w:rsidRDefault="00934C3B" w:rsidP="00934C3B">
            <w:pPr>
              <w:jc w:val="center"/>
            </w:pPr>
            <w:r>
              <w:t>300.000</w:t>
            </w:r>
          </w:p>
        </w:tc>
      </w:tr>
      <w:tr w:rsidR="00934C3B" w:rsidRPr="000A7EA2" w14:paraId="18D2B4BF" w14:textId="77777777" w:rsidTr="0041196D">
        <w:tc>
          <w:tcPr>
            <w:tcW w:w="5030" w:type="dxa"/>
            <w:shd w:val="clear" w:color="auto" w:fill="auto"/>
            <w:vAlign w:val="center"/>
          </w:tcPr>
          <w:p w14:paraId="17DAFACB" w14:textId="77777777" w:rsidR="00934C3B" w:rsidRPr="00E63496" w:rsidRDefault="00934C3B" w:rsidP="00934C3B">
            <w:pPr>
              <w:jc w:val="center"/>
            </w:pPr>
            <w:r>
              <w:t xml:space="preserve">De </w:t>
            </w:r>
            <w:r w:rsidRPr="00FD3890">
              <w:t>4</w:t>
            </w:r>
            <w:r>
              <w:t>.</w:t>
            </w:r>
            <w:r w:rsidRPr="00FD3890">
              <w:t>401 a 4</w:t>
            </w:r>
            <w:r>
              <w:t>.</w:t>
            </w:r>
            <w:r w:rsidRPr="00FD3890">
              <w:t>500</w:t>
            </w:r>
          </w:p>
        </w:tc>
        <w:tc>
          <w:tcPr>
            <w:tcW w:w="5030" w:type="dxa"/>
          </w:tcPr>
          <w:p w14:paraId="46D40EE5" w14:textId="0409A511" w:rsidR="00934C3B" w:rsidRPr="006C2B14" w:rsidRDefault="00934C3B" w:rsidP="00934C3B">
            <w:pPr>
              <w:jc w:val="center"/>
            </w:pPr>
            <w:r>
              <w:t>725.000</w:t>
            </w:r>
          </w:p>
        </w:tc>
      </w:tr>
      <w:tr w:rsidR="00934C3B" w:rsidRPr="000A7EA2" w14:paraId="765F0FE8" w14:textId="77777777" w:rsidTr="0041196D">
        <w:tc>
          <w:tcPr>
            <w:tcW w:w="5030" w:type="dxa"/>
            <w:shd w:val="clear" w:color="auto" w:fill="auto"/>
            <w:vAlign w:val="center"/>
          </w:tcPr>
          <w:p w14:paraId="666CB49D" w14:textId="77777777" w:rsidR="00934C3B" w:rsidRPr="00E63496" w:rsidRDefault="00934C3B" w:rsidP="00934C3B">
            <w:pPr>
              <w:jc w:val="center"/>
            </w:pPr>
            <w:r>
              <w:t xml:space="preserve">De </w:t>
            </w:r>
            <w:r w:rsidRPr="00FD3890">
              <w:t>4</w:t>
            </w:r>
            <w:r>
              <w:t>.</w:t>
            </w:r>
            <w:r w:rsidRPr="00FD3890">
              <w:t>501 a 4</w:t>
            </w:r>
            <w:r>
              <w:t>.</w:t>
            </w:r>
            <w:r w:rsidRPr="00FD3890">
              <w:t>600</w:t>
            </w:r>
          </w:p>
        </w:tc>
        <w:tc>
          <w:tcPr>
            <w:tcW w:w="5030" w:type="dxa"/>
          </w:tcPr>
          <w:p w14:paraId="7359D1D5" w14:textId="3B31B689" w:rsidR="00934C3B" w:rsidRPr="006C2B14" w:rsidRDefault="00934C3B" w:rsidP="00934C3B">
            <w:pPr>
              <w:jc w:val="center"/>
            </w:pPr>
            <w:r w:rsidRPr="00B1104B">
              <w:t>1.</w:t>
            </w:r>
            <w:r>
              <w:t>155.000</w:t>
            </w:r>
          </w:p>
        </w:tc>
      </w:tr>
      <w:tr w:rsidR="00934C3B" w:rsidRPr="000A7EA2" w14:paraId="3820C7FE" w14:textId="77777777" w:rsidTr="0041196D">
        <w:tc>
          <w:tcPr>
            <w:tcW w:w="5030" w:type="dxa"/>
            <w:shd w:val="clear" w:color="auto" w:fill="auto"/>
            <w:vAlign w:val="center"/>
          </w:tcPr>
          <w:p w14:paraId="37F226ED" w14:textId="77777777" w:rsidR="00934C3B" w:rsidRPr="00E63496" w:rsidRDefault="00934C3B" w:rsidP="00934C3B">
            <w:pPr>
              <w:jc w:val="center"/>
            </w:pPr>
            <w:r>
              <w:t xml:space="preserve">De </w:t>
            </w:r>
            <w:r w:rsidRPr="00FD3890">
              <w:t>4</w:t>
            </w:r>
            <w:r>
              <w:t>.</w:t>
            </w:r>
            <w:r w:rsidRPr="00FD3890">
              <w:t>601 a 4</w:t>
            </w:r>
            <w:r>
              <w:t>.</w:t>
            </w:r>
            <w:r w:rsidRPr="00FD3890">
              <w:t>700</w:t>
            </w:r>
          </w:p>
        </w:tc>
        <w:tc>
          <w:tcPr>
            <w:tcW w:w="5030" w:type="dxa"/>
          </w:tcPr>
          <w:p w14:paraId="5FCC1E73" w14:textId="04711B52" w:rsidR="00934C3B" w:rsidRDefault="00934C3B" w:rsidP="00934C3B">
            <w:pPr>
              <w:jc w:val="center"/>
            </w:pPr>
            <w:r w:rsidRPr="00B1104B">
              <w:t>1.</w:t>
            </w:r>
            <w:r>
              <w:t>585.000</w:t>
            </w:r>
          </w:p>
        </w:tc>
      </w:tr>
      <w:tr w:rsidR="00934C3B" w:rsidRPr="000A7EA2" w14:paraId="738F36E1" w14:textId="77777777" w:rsidTr="0041196D">
        <w:tc>
          <w:tcPr>
            <w:tcW w:w="5030" w:type="dxa"/>
            <w:shd w:val="clear" w:color="auto" w:fill="auto"/>
            <w:vAlign w:val="center"/>
          </w:tcPr>
          <w:p w14:paraId="5CA532CA" w14:textId="77777777" w:rsidR="00934C3B" w:rsidRDefault="00934C3B" w:rsidP="00934C3B">
            <w:pPr>
              <w:jc w:val="center"/>
            </w:pPr>
            <w:r>
              <w:t xml:space="preserve">De </w:t>
            </w:r>
            <w:r w:rsidRPr="00FD3890">
              <w:t>4</w:t>
            </w:r>
            <w:r>
              <w:t>.</w:t>
            </w:r>
            <w:r w:rsidRPr="00FD3890">
              <w:t>701 a 4</w:t>
            </w:r>
            <w:r>
              <w:t>.</w:t>
            </w:r>
            <w:r w:rsidRPr="00FD3890">
              <w:t>800</w:t>
            </w:r>
          </w:p>
        </w:tc>
        <w:tc>
          <w:tcPr>
            <w:tcW w:w="5030" w:type="dxa"/>
          </w:tcPr>
          <w:p w14:paraId="489A4F37" w14:textId="0B1B5281" w:rsidR="00934C3B" w:rsidRPr="006C2B14" w:rsidRDefault="00934C3B" w:rsidP="00934C3B">
            <w:pPr>
              <w:jc w:val="center"/>
            </w:pPr>
            <w:r w:rsidRPr="00B1104B">
              <w:t>2.</w:t>
            </w:r>
            <w:r>
              <w:t>010.000</w:t>
            </w:r>
          </w:p>
        </w:tc>
      </w:tr>
      <w:tr w:rsidR="00934C3B" w:rsidRPr="000A7EA2" w14:paraId="0B7B8B2C" w14:textId="77777777" w:rsidTr="0041196D">
        <w:tc>
          <w:tcPr>
            <w:tcW w:w="5030" w:type="dxa"/>
            <w:shd w:val="clear" w:color="auto" w:fill="auto"/>
            <w:vAlign w:val="center"/>
          </w:tcPr>
          <w:p w14:paraId="583941EF" w14:textId="77777777" w:rsidR="00934C3B" w:rsidRDefault="00934C3B" w:rsidP="00934C3B">
            <w:pPr>
              <w:jc w:val="center"/>
            </w:pPr>
            <w:r>
              <w:t xml:space="preserve">De </w:t>
            </w:r>
            <w:r w:rsidRPr="00FD3890">
              <w:t>4</w:t>
            </w:r>
            <w:r>
              <w:t>.</w:t>
            </w:r>
            <w:r w:rsidRPr="00FD3890">
              <w:t>801 a 4</w:t>
            </w:r>
            <w:r>
              <w:t>.</w:t>
            </w:r>
            <w:r w:rsidRPr="00FD3890">
              <w:t>900</w:t>
            </w:r>
          </w:p>
        </w:tc>
        <w:tc>
          <w:tcPr>
            <w:tcW w:w="5030" w:type="dxa"/>
          </w:tcPr>
          <w:p w14:paraId="27A352C1" w14:textId="72879796" w:rsidR="00934C3B" w:rsidRPr="006C2B14" w:rsidRDefault="00934C3B" w:rsidP="00934C3B">
            <w:pPr>
              <w:jc w:val="center"/>
            </w:pPr>
            <w:r w:rsidRPr="00B1104B">
              <w:t>2.</w:t>
            </w:r>
            <w:r>
              <w:t>440.000</w:t>
            </w:r>
          </w:p>
        </w:tc>
      </w:tr>
      <w:tr w:rsidR="00934C3B" w:rsidRPr="000A7EA2" w14:paraId="10503EB6" w14:textId="77777777" w:rsidTr="0041196D">
        <w:tc>
          <w:tcPr>
            <w:tcW w:w="5030" w:type="dxa"/>
            <w:shd w:val="clear" w:color="auto" w:fill="auto"/>
            <w:vAlign w:val="center"/>
          </w:tcPr>
          <w:p w14:paraId="1D96CFEF" w14:textId="77777777" w:rsidR="00934C3B" w:rsidRDefault="00934C3B" w:rsidP="00934C3B">
            <w:pPr>
              <w:jc w:val="center"/>
            </w:pPr>
            <w:r>
              <w:t xml:space="preserve">De </w:t>
            </w:r>
            <w:r w:rsidRPr="00FD3890">
              <w:t>4</w:t>
            </w:r>
            <w:r>
              <w:t>.</w:t>
            </w:r>
            <w:r w:rsidRPr="00FD3890">
              <w:t>901 a 5</w:t>
            </w:r>
            <w:r>
              <w:t>.</w:t>
            </w:r>
            <w:r w:rsidRPr="00FD3890">
              <w:t>000</w:t>
            </w:r>
          </w:p>
        </w:tc>
        <w:tc>
          <w:tcPr>
            <w:tcW w:w="5030" w:type="dxa"/>
          </w:tcPr>
          <w:p w14:paraId="3DB3B919" w14:textId="03038A0F" w:rsidR="00934C3B" w:rsidRPr="006C2B14" w:rsidRDefault="00934C3B" w:rsidP="00934C3B">
            <w:pPr>
              <w:jc w:val="center"/>
            </w:pPr>
            <w:r w:rsidRPr="00B1104B">
              <w:t>2.</w:t>
            </w:r>
            <w:r>
              <w:t>865.000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lastRenderedPageBreak/>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352950" w14:paraId="7A1DC8A0" w14:textId="77777777" w:rsidTr="007958C5">
        <w:tc>
          <w:tcPr>
            <w:tcW w:w="1696" w:type="dxa"/>
            <w:vAlign w:val="center"/>
          </w:tcPr>
          <w:p w14:paraId="7EDAAC41" w14:textId="77777777" w:rsidR="00352950" w:rsidRPr="002D7356" w:rsidRDefault="00352950" w:rsidP="00352950">
            <w:pPr>
              <w:jc w:val="center"/>
            </w:pPr>
            <w:r>
              <w:t>Día 1</w:t>
            </w:r>
          </w:p>
        </w:tc>
        <w:tc>
          <w:tcPr>
            <w:tcW w:w="2334" w:type="dxa"/>
            <w:vAlign w:val="center"/>
          </w:tcPr>
          <w:p w14:paraId="260F3253" w14:textId="77777777" w:rsidR="00352950" w:rsidRPr="002D7356" w:rsidRDefault="00352950" w:rsidP="00352950">
            <w:pPr>
              <w:jc w:val="center"/>
            </w:pPr>
            <w:r w:rsidRPr="002D7356">
              <w:t>Bogotá – Estambul</w:t>
            </w:r>
          </w:p>
        </w:tc>
        <w:tc>
          <w:tcPr>
            <w:tcW w:w="2013" w:type="dxa"/>
          </w:tcPr>
          <w:p w14:paraId="300A659B" w14:textId="238606AE" w:rsidR="00352950" w:rsidRPr="00060C4D" w:rsidRDefault="00352950" w:rsidP="00352950">
            <w:pPr>
              <w:jc w:val="center"/>
            </w:pPr>
            <w:r w:rsidRPr="00EF4637">
              <w:t>TK 800</w:t>
            </w:r>
          </w:p>
        </w:tc>
        <w:tc>
          <w:tcPr>
            <w:tcW w:w="2013" w:type="dxa"/>
          </w:tcPr>
          <w:p w14:paraId="19E8C1C7" w14:textId="0D017651" w:rsidR="00352950" w:rsidRPr="00060C4D" w:rsidRDefault="00352950" w:rsidP="00352950">
            <w:pPr>
              <w:jc w:val="center"/>
            </w:pPr>
            <w:r w:rsidRPr="00EF4637">
              <w:t>16:35</w:t>
            </w:r>
          </w:p>
        </w:tc>
        <w:tc>
          <w:tcPr>
            <w:tcW w:w="2014" w:type="dxa"/>
          </w:tcPr>
          <w:p w14:paraId="115EBA4D" w14:textId="7731541B" w:rsidR="00352950" w:rsidRPr="00060C4D" w:rsidRDefault="00352950" w:rsidP="00352950">
            <w:pPr>
              <w:jc w:val="center"/>
            </w:pPr>
            <w:r w:rsidRPr="00EF4637">
              <w:t>16:40 +1</w:t>
            </w:r>
          </w:p>
        </w:tc>
      </w:tr>
      <w:tr w:rsidR="00352950" w14:paraId="024943CB" w14:textId="77777777" w:rsidTr="007958C5">
        <w:tc>
          <w:tcPr>
            <w:tcW w:w="1696" w:type="dxa"/>
            <w:vAlign w:val="center"/>
          </w:tcPr>
          <w:p w14:paraId="63A6AC37" w14:textId="77777777" w:rsidR="00352950" w:rsidRDefault="00352950" w:rsidP="00352950">
            <w:pPr>
              <w:jc w:val="center"/>
            </w:pPr>
            <w:r>
              <w:t>Día 2</w:t>
            </w:r>
          </w:p>
        </w:tc>
        <w:tc>
          <w:tcPr>
            <w:tcW w:w="2334" w:type="dxa"/>
            <w:vAlign w:val="center"/>
          </w:tcPr>
          <w:p w14:paraId="0C29B132" w14:textId="003E9F36" w:rsidR="00352950" w:rsidRPr="002D7356" w:rsidRDefault="00352950" w:rsidP="00352950">
            <w:pPr>
              <w:jc w:val="center"/>
            </w:pPr>
            <w:r>
              <w:t xml:space="preserve">Estambul – Cairo </w:t>
            </w:r>
          </w:p>
        </w:tc>
        <w:tc>
          <w:tcPr>
            <w:tcW w:w="2013" w:type="dxa"/>
          </w:tcPr>
          <w:p w14:paraId="367F7E44" w14:textId="4889D20E" w:rsidR="00352950" w:rsidRPr="00C63BB4" w:rsidRDefault="00352950" w:rsidP="00352950">
            <w:pPr>
              <w:jc w:val="center"/>
            </w:pPr>
            <w:r w:rsidRPr="00EF4637">
              <w:t>TK</w:t>
            </w:r>
            <w:r>
              <w:t xml:space="preserve"> </w:t>
            </w:r>
            <w:r w:rsidRPr="00EF4637">
              <w:t>694</w:t>
            </w:r>
          </w:p>
        </w:tc>
        <w:tc>
          <w:tcPr>
            <w:tcW w:w="2013" w:type="dxa"/>
          </w:tcPr>
          <w:p w14:paraId="541BCBE5" w14:textId="78E0711F" w:rsidR="00352950" w:rsidRPr="009F72BF" w:rsidRDefault="00352950" w:rsidP="00352950">
            <w:pPr>
              <w:jc w:val="center"/>
              <w:rPr>
                <w:highlight w:val="yellow"/>
              </w:rPr>
            </w:pPr>
            <w:r w:rsidRPr="00EF4637">
              <w:t>18:15</w:t>
            </w:r>
          </w:p>
        </w:tc>
        <w:tc>
          <w:tcPr>
            <w:tcW w:w="2014" w:type="dxa"/>
          </w:tcPr>
          <w:p w14:paraId="4969FE30" w14:textId="79AB50F9" w:rsidR="00352950" w:rsidRPr="009F72BF" w:rsidRDefault="00352950" w:rsidP="00352950">
            <w:pPr>
              <w:jc w:val="center"/>
              <w:rPr>
                <w:highlight w:val="yellow"/>
              </w:rPr>
            </w:pPr>
            <w:r w:rsidRPr="00EF4637">
              <w:t>19:45</w:t>
            </w:r>
          </w:p>
        </w:tc>
      </w:tr>
      <w:tr w:rsidR="00352950" w14:paraId="2ED5BAA1" w14:textId="77777777" w:rsidTr="007958C5">
        <w:tc>
          <w:tcPr>
            <w:tcW w:w="1696" w:type="dxa"/>
            <w:vAlign w:val="center"/>
          </w:tcPr>
          <w:p w14:paraId="4FBA79BE" w14:textId="039AB301" w:rsidR="00352950" w:rsidRDefault="00352950" w:rsidP="00352950">
            <w:pPr>
              <w:jc w:val="center"/>
            </w:pPr>
            <w:r>
              <w:t>Día 12</w:t>
            </w:r>
          </w:p>
        </w:tc>
        <w:tc>
          <w:tcPr>
            <w:tcW w:w="2334" w:type="dxa"/>
            <w:vAlign w:val="center"/>
          </w:tcPr>
          <w:p w14:paraId="3FDD544E" w14:textId="4F5301EF" w:rsidR="00352950" w:rsidRPr="002D7356" w:rsidRDefault="00352950" w:rsidP="00352950">
            <w:pPr>
              <w:jc w:val="center"/>
            </w:pPr>
            <w:r>
              <w:t>Dubái – Estambul</w:t>
            </w:r>
          </w:p>
        </w:tc>
        <w:tc>
          <w:tcPr>
            <w:tcW w:w="2013" w:type="dxa"/>
          </w:tcPr>
          <w:p w14:paraId="28F7FC7E" w14:textId="6A4C3F18" w:rsidR="00352950" w:rsidRPr="00C63BB4" w:rsidRDefault="00352950" w:rsidP="00352950">
            <w:pPr>
              <w:jc w:val="center"/>
            </w:pPr>
            <w:r w:rsidRPr="00EF4637">
              <w:t>TK</w:t>
            </w:r>
            <w:r>
              <w:t xml:space="preserve"> </w:t>
            </w:r>
            <w:r w:rsidRPr="00EF4637">
              <w:t>761</w:t>
            </w:r>
          </w:p>
        </w:tc>
        <w:tc>
          <w:tcPr>
            <w:tcW w:w="2013" w:type="dxa"/>
          </w:tcPr>
          <w:p w14:paraId="4C9E448A" w14:textId="52003C52" w:rsidR="00352950" w:rsidRPr="009F72BF" w:rsidRDefault="00352950" w:rsidP="00352950">
            <w:pPr>
              <w:jc w:val="center"/>
              <w:rPr>
                <w:highlight w:val="yellow"/>
              </w:rPr>
            </w:pPr>
            <w:r w:rsidRPr="00EF4637">
              <w:t>2:00</w:t>
            </w:r>
          </w:p>
        </w:tc>
        <w:tc>
          <w:tcPr>
            <w:tcW w:w="2014" w:type="dxa"/>
          </w:tcPr>
          <w:p w14:paraId="6EB84902" w14:textId="04CAD8EF" w:rsidR="00352950" w:rsidRPr="009F72BF" w:rsidRDefault="00352950" w:rsidP="00352950">
            <w:pPr>
              <w:jc w:val="center"/>
              <w:rPr>
                <w:highlight w:val="yellow"/>
              </w:rPr>
            </w:pPr>
            <w:r w:rsidRPr="00EF4637">
              <w:t>5:45</w:t>
            </w:r>
          </w:p>
        </w:tc>
      </w:tr>
      <w:tr w:rsidR="00352950" w14:paraId="2BB67874" w14:textId="77777777" w:rsidTr="007958C5">
        <w:tc>
          <w:tcPr>
            <w:tcW w:w="1696" w:type="dxa"/>
            <w:vAlign w:val="center"/>
          </w:tcPr>
          <w:p w14:paraId="5865715A" w14:textId="03DC17BA" w:rsidR="00352950" w:rsidRDefault="00352950" w:rsidP="00352950">
            <w:pPr>
              <w:jc w:val="center"/>
            </w:pPr>
            <w:r>
              <w:t>Día 14</w:t>
            </w:r>
          </w:p>
        </w:tc>
        <w:tc>
          <w:tcPr>
            <w:tcW w:w="2334" w:type="dxa"/>
            <w:vAlign w:val="center"/>
          </w:tcPr>
          <w:p w14:paraId="46BA72BF" w14:textId="77777777" w:rsidR="00352950" w:rsidRPr="002D7356" w:rsidRDefault="00352950" w:rsidP="00352950">
            <w:pPr>
              <w:jc w:val="center"/>
            </w:pPr>
            <w:r w:rsidRPr="002D7356">
              <w:t xml:space="preserve">Estambul </w:t>
            </w:r>
            <w:r>
              <w:t>–</w:t>
            </w:r>
            <w:r w:rsidRPr="002D7356">
              <w:t xml:space="preserve"> Bogotá</w:t>
            </w:r>
          </w:p>
        </w:tc>
        <w:tc>
          <w:tcPr>
            <w:tcW w:w="2013" w:type="dxa"/>
          </w:tcPr>
          <w:p w14:paraId="79D0D62F" w14:textId="0A1D7E06" w:rsidR="00352950" w:rsidRPr="00060C4D" w:rsidRDefault="00352950" w:rsidP="00352950">
            <w:pPr>
              <w:jc w:val="center"/>
            </w:pPr>
            <w:r w:rsidRPr="00EF4637">
              <w:t>TK</w:t>
            </w:r>
            <w:r>
              <w:t xml:space="preserve"> </w:t>
            </w:r>
            <w:r w:rsidRPr="00EF4637">
              <w:t>801</w:t>
            </w:r>
          </w:p>
        </w:tc>
        <w:tc>
          <w:tcPr>
            <w:tcW w:w="2013" w:type="dxa"/>
          </w:tcPr>
          <w:p w14:paraId="5BB5D03E" w14:textId="19A32ACD" w:rsidR="00352950" w:rsidRPr="00060C4D" w:rsidRDefault="00352950" w:rsidP="00352950">
            <w:pPr>
              <w:jc w:val="center"/>
            </w:pPr>
            <w:r w:rsidRPr="00EF4637">
              <w:t>9:40</w:t>
            </w:r>
          </w:p>
        </w:tc>
        <w:tc>
          <w:tcPr>
            <w:tcW w:w="2014" w:type="dxa"/>
          </w:tcPr>
          <w:p w14:paraId="6902CE6F" w14:textId="5CD3E876" w:rsidR="00352950" w:rsidRDefault="00352950" w:rsidP="00352950">
            <w:pPr>
              <w:jc w:val="center"/>
            </w:pPr>
            <w:r w:rsidRPr="00EF4637">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033CB2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E9246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5F323D" w:rsidRPr="005C04E4" w14:paraId="380E4036" w14:textId="77777777" w:rsidTr="00E9246A">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E9246A">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352950" w:rsidRPr="002D7356" w14:paraId="6E8EA351" w14:textId="77777777" w:rsidTr="00E9246A">
        <w:tc>
          <w:tcPr>
            <w:tcW w:w="3356" w:type="dxa"/>
            <w:vMerge w:val="restart"/>
            <w:vAlign w:val="center"/>
          </w:tcPr>
          <w:p w14:paraId="2F291C96" w14:textId="0CD0C2BA" w:rsidR="00352950" w:rsidRDefault="00352950" w:rsidP="00352950">
            <w:pPr>
              <w:jc w:val="center"/>
              <w:rPr>
                <w:rFonts w:cs="Arial"/>
                <w:szCs w:val="22"/>
              </w:rPr>
            </w:pPr>
            <w:r>
              <w:rPr>
                <w:rFonts w:cs="Arial"/>
                <w:szCs w:val="22"/>
              </w:rPr>
              <w:t>Dubái</w:t>
            </w:r>
          </w:p>
        </w:tc>
        <w:tc>
          <w:tcPr>
            <w:tcW w:w="3357" w:type="dxa"/>
          </w:tcPr>
          <w:p w14:paraId="573A65CE" w14:textId="38E56A38" w:rsidR="00352950" w:rsidRPr="009621DD" w:rsidRDefault="00352950" w:rsidP="00352950">
            <w:pPr>
              <w:jc w:val="center"/>
            </w:pPr>
            <w:r w:rsidRPr="00352950">
              <w:t>Al Khoory Atrium</w:t>
            </w:r>
          </w:p>
        </w:tc>
        <w:tc>
          <w:tcPr>
            <w:tcW w:w="3357" w:type="dxa"/>
          </w:tcPr>
          <w:p w14:paraId="76607C54" w14:textId="69CDF24B" w:rsidR="00352950" w:rsidRPr="009621DD" w:rsidRDefault="00352950" w:rsidP="00352950">
            <w:pPr>
              <w:jc w:val="center"/>
            </w:pPr>
            <w:r w:rsidRPr="00E14DBD">
              <w:t xml:space="preserve">Primera </w:t>
            </w:r>
          </w:p>
        </w:tc>
      </w:tr>
      <w:tr w:rsidR="00352950" w:rsidRPr="002D7356" w14:paraId="3F5015B0" w14:textId="77777777" w:rsidTr="00E9246A">
        <w:tc>
          <w:tcPr>
            <w:tcW w:w="3356" w:type="dxa"/>
            <w:vMerge/>
            <w:vAlign w:val="center"/>
          </w:tcPr>
          <w:p w14:paraId="0C59FCB4" w14:textId="77777777" w:rsidR="00352950" w:rsidRDefault="00352950" w:rsidP="00352950">
            <w:pPr>
              <w:jc w:val="center"/>
              <w:rPr>
                <w:rFonts w:cs="Arial"/>
                <w:szCs w:val="22"/>
              </w:rPr>
            </w:pPr>
          </w:p>
        </w:tc>
        <w:tc>
          <w:tcPr>
            <w:tcW w:w="3357" w:type="dxa"/>
          </w:tcPr>
          <w:p w14:paraId="73404FDE" w14:textId="7F0B91A3" w:rsidR="00352950" w:rsidRPr="009621DD" w:rsidRDefault="00352950" w:rsidP="00352950">
            <w:pPr>
              <w:jc w:val="center"/>
            </w:pPr>
            <w:r w:rsidRPr="00352950">
              <w:t>Millennium Place Barsha Heights</w:t>
            </w:r>
          </w:p>
        </w:tc>
        <w:tc>
          <w:tcPr>
            <w:tcW w:w="3357" w:type="dxa"/>
          </w:tcPr>
          <w:p w14:paraId="0544E69F" w14:textId="1CD509DB" w:rsidR="00352950" w:rsidRPr="009621DD" w:rsidRDefault="00352950" w:rsidP="00352950">
            <w:pPr>
              <w:jc w:val="center"/>
            </w:pPr>
            <w:r w:rsidRPr="00E14DBD">
              <w:t xml:space="preserve">Primera </w:t>
            </w:r>
          </w:p>
        </w:tc>
      </w:tr>
      <w:tr w:rsidR="00035957" w:rsidRPr="002D7356" w14:paraId="0D158EEF" w14:textId="77777777" w:rsidTr="00E9246A">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E9246A">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E9246A">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1C8E9B6F" w:rsidR="00C96FE2" w:rsidRDefault="00C96FE2" w:rsidP="00E9246A">
      <w:pPr>
        <w:pStyle w:val="itinerario"/>
      </w:pPr>
    </w:p>
    <w:p w14:paraId="3E50850F" w14:textId="73E867B1"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BF4F5F" w:rsidRPr="00554B1E" w14:paraId="2373C5E4" w14:textId="77777777" w:rsidTr="00161405">
        <w:tc>
          <w:tcPr>
            <w:tcW w:w="1696" w:type="dxa"/>
            <w:vAlign w:val="center"/>
          </w:tcPr>
          <w:p w14:paraId="7F9130F7" w14:textId="0DC0B29D" w:rsidR="00BF4F5F" w:rsidRPr="00E42B3B" w:rsidRDefault="00BF4F5F" w:rsidP="00BF4F5F">
            <w:pPr>
              <w:jc w:val="center"/>
              <w:rPr>
                <w:rFonts w:cs="Arial"/>
              </w:rPr>
            </w:pPr>
            <w:r>
              <w:rPr>
                <w:rFonts w:cs="Arial"/>
              </w:rPr>
              <w:t xml:space="preserve">Dubái </w:t>
            </w:r>
          </w:p>
        </w:tc>
        <w:tc>
          <w:tcPr>
            <w:tcW w:w="6946" w:type="dxa"/>
            <w:vAlign w:val="center"/>
          </w:tcPr>
          <w:p w14:paraId="00105E5C" w14:textId="5969CCBE" w:rsidR="00BF4F5F" w:rsidRPr="00E42B3B" w:rsidRDefault="00BF4F5F" w:rsidP="00BF4F5F">
            <w:pPr>
              <w:jc w:val="center"/>
              <w:rPr>
                <w:rFonts w:cs="Arial"/>
              </w:rPr>
            </w:pPr>
            <w:r>
              <w:rPr>
                <w:rFonts w:cs="Arial"/>
              </w:rPr>
              <w:t>Dubái Moderno (domingo)</w:t>
            </w:r>
          </w:p>
        </w:tc>
        <w:tc>
          <w:tcPr>
            <w:tcW w:w="1428" w:type="dxa"/>
            <w:vAlign w:val="center"/>
          </w:tcPr>
          <w:p w14:paraId="0F008ED2" w14:textId="6292E293" w:rsidR="00BF4F5F" w:rsidRDefault="00BF4F5F" w:rsidP="00BF4F5F">
            <w:pPr>
              <w:jc w:val="center"/>
              <w:rPr>
                <w:rFonts w:cs="Arial"/>
              </w:rPr>
            </w:pPr>
            <w:r>
              <w:rPr>
                <w:rFonts w:cs="Arial"/>
              </w:rPr>
              <w:t>65</w:t>
            </w:r>
          </w:p>
        </w:tc>
      </w:tr>
      <w:tr w:rsidR="00E9246A" w:rsidRPr="00554B1E" w14:paraId="55D977B7" w14:textId="77777777" w:rsidTr="00C35152">
        <w:tc>
          <w:tcPr>
            <w:tcW w:w="1696" w:type="dxa"/>
          </w:tcPr>
          <w:p w14:paraId="49D2A3BA" w14:textId="1074D475" w:rsidR="00E9246A" w:rsidRPr="00E42B3B" w:rsidRDefault="00E9246A" w:rsidP="00E9246A">
            <w:pPr>
              <w:jc w:val="center"/>
              <w:rPr>
                <w:rFonts w:cs="Arial"/>
              </w:rPr>
            </w:pPr>
            <w:r w:rsidRPr="005B05C0">
              <w:t xml:space="preserve">Dubái </w:t>
            </w:r>
          </w:p>
        </w:tc>
        <w:tc>
          <w:tcPr>
            <w:tcW w:w="6946" w:type="dxa"/>
            <w:vAlign w:val="center"/>
          </w:tcPr>
          <w:p w14:paraId="30DFE1F4" w14:textId="4E1F6188" w:rsidR="00E9246A" w:rsidRPr="00E42B3B" w:rsidRDefault="00E9246A" w:rsidP="00E9246A">
            <w:pPr>
              <w:jc w:val="center"/>
              <w:rPr>
                <w:rFonts w:cs="Arial"/>
              </w:rPr>
            </w:pPr>
            <w:r w:rsidRPr="00BF4F5F">
              <w:rPr>
                <w:rFonts w:cs="Arial"/>
              </w:rPr>
              <w:t>Entrada Burj Khalifa</w:t>
            </w:r>
          </w:p>
        </w:tc>
        <w:tc>
          <w:tcPr>
            <w:tcW w:w="1428" w:type="dxa"/>
            <w:vAlign w:val="center"/>
          </w:tcPr>
          <w:p w14:paraId="17EC0DC8" w14:textId="24ED8609" w:rsidR="00E9246A" w:rsidRDefault="00E9246A" w:rsidP="00E9246A">
            <w:pPr>
              <w:jc w:val="center"/>
              <w:rPr>
                <w:rFonts w:cs="Arial"/>
              </w:rPr>
            </w:pPr>
            <w:r>
              <w:rPr>
                <w:rFonts w:cs="Arial"/>
              </w:rPr>
              <w:t>60</w:t>
            </w:r>
          </w:p>
        </w:tc>
      </w:tr>
      <w:tr w:rsidR="00BF4F5F" w:rsidRPr="00554B1E" w14:paraId="292DE0BE" w14:textId="77777777" w:rsidTr="00C35152">
        <w:tc>
          <w:tcPr>
            <w:tcW w:w="1696" w:type="dxa"/>
          </w:tcPr>
          <w:p w14:paraId="40757142" w14:textId="6D074B97" w:rsidR="00BF4F5F" w:rsidRDefault="00BF4F5F" w:rsidP="00BF4F5F">
            <w:pPr>
              <w:jc w:val="center"/>
              <w:rPr>
                <w:rFonts w:cs="Arial"/>
              </w:rPr>
            </w:pPr>
            <w:r w:rsidRPr="005B05C0">
              <w:t xml:space="preserve">Dubái </w:t>
            </w:r>
          </w:p>
        </w:tc>
        <w:tc>
          <w:tcPr>
            <w:tcW w:w="6946" w:type="dxa"/>
            <w:vAlign w:val="center"/>
          </w:tcPr>
          <w:p w14:paraId="7486B646" w14:textId="156F7B9A" w:rsidR="00BF4F5F" w:rsidRPr="00E42B3B" w:rsidRDefault="00E9246A" w:rsidP="00BF4F5F">
            <w:pPr>
              <w:jc w:val="center"/>
              <w:rPr>
                <w:rFonts w:cs="Arial"/>
              </w:rPr>
            </w:pPr>
            <w:r w:rsidRPr="00E9246A">
              <w:rPr>
                <w:rFonts w:cs="Arial"/>
              </w:rPr>
              <w:t>Mirador de Dubái</w:t>
            </w:r>
            <w:r w:rsidR="007205EB">
              <w:rPr>
                <w:rFonts w:cs="Arial"/>
              </w:rPr>
              <w:t>, Dubái Frame</w:t>
            </w:r>
            <w:r>
              <w:rPr>
                <w:rFonts w:cs="Arial"/>
              </w:rPr>
              <w:t xml:space="preserve"> (conductor de habla inglesa)</w:t>
            </w:r>
          </w:p>
        </w:tc>
        <w:tc>
          <w:tcPr>
            <w:tcW w:w="1428" w:type="dxa"/>
            <w:vAlign w:val="center"/>
          </w:tcPr>
          <w:p w14:paraId="6F0B8D05" w14:textId="134A2394" w:rsidR="00BF4F5F" w:rsidRDefault="00E9246A" w:rsidP="00BF4F5F">
            <w:pPr>
              <w:jc w:val="center"/>
              <w:rPr>
                <w:rFonts w:cs="Arial"/>
              </w:rPr>
            </w:pPr>
            <w:r>
              <w:rPr>
                <w:rFonts w:cs="Arial"/>
              </w:rPr>
              <w:t>80</w:t>
            </w:r>
          </w:p>
        </w:tc>
      </w:tr>
      <w:tr w:rsidR="007205EB" w:rsidRPr="00554B1E" w14:paraId="34920210" w14:textId="77777777" w:rsidTr="00C35152">
        <w:tc>
          <w:tcPr>
            <w:tcW w:w="1696" w:type="dxa"/>
          </w:tcPr>
          <w:p w14:paraId="7C240AB6" w14:textId="1A394EDE" w:rsidR="007205EB" w:rsidRPr="005B05C0" w:rsidRDefault="007205EB" w:rsidP="00BF4F5F">
            <w:pPr>
              <w:jc w:val="center"/>
            </w:pPr>
            <w:r w:rsidRPr="007205EB">
              <w:t>Dubái</w:t>
            </w:r>
          </w:p>
        </w:tc>
        <w:tc>
          <w:tcPr>
            <w:tcW w:w="6946" w:type="dxa"/>
            <w:vAlign w:val="center"/>
          </w:tcPr>
          <w:p w14:paraId="0DBBE0D4" w14:textId="1D722E75" w:rsidR="007205EB" w:rsidRPr="00E9246A" w:rsidRDefault="007205EB" w:rsidP="00BF4F5F">
            <w:pPr>
              <w:jc w:val="center"/>
              <w:rPr>
                <w:rFonts w:cs="Arial"/>
              </w:rPr>
            </w:pPr>
            <w:r>
              <w:rPr>
                <w:rFonts w:cs="Arial"/>
              </w:rPr>
              <w:t>Museo del Futuro (entrada con traslados)</w:t>
            </w:r>
          </w:p>
        </w:tc>
        <w:tc>
          <w:tcPr>
            <w:tcW w:w="1428" w:type="dxa"/>
            <w:vAlign w:val="center"/>
          </w:tcPr>
          <w:p w14:paraId="7BACF077" w14:textId="0E71ADE1" w:rsidR="007205EB" w:rsidRDefault="007205EB" w:rsidP="00BF4F5F">
            <w:pPr>
              <w:jc w:val="center"/>
              <w:rPr>
                <w:rFonts w:cs="Arial"/>
              </w:rPr>
            </w:pPr>
            <w:r>
              <w:rPr>
                <w:rFonts w:cs="Arial"/>
              </w:rPr>
              <w:t>105</w:t>
            </w:r>
          </w:p>
        </w:tc>
      </w:tr>
      <w:tr w:rsidR="00BF4F5F" w:rsidRPr="00554B1E" w14:paraId="0BED8BDA" w14:textId="77777777" w:rsidTr="00C35152">
        <w:tc>
          <w:tcPr>
            <w:tcW w:w="1696" w:type="dxa"/>
          </w:tcPr>
          <w:p w14:paraId="4283D425" w14:textId="7CC1076A" w:rsidR="00BF4F5F" w:rsidRPr="005B05C0" w:rsidRDefault="00E9246A" w:rsidP="00BF4F5F">
            <w:pPr>
              <w:jc w:val="center"/>
            </w:pPr>
            <w:r w:rsidRPr="005B05C0">
              <w:t>Dubái</w:t>
            </w:r>
          </w:p>
        </w:tc>
        <w:tc>
          <w:tcPr>
            <w:tcW w:w="6946" w:type="dxa"/>
            <w:vAlign w:val="center"/>
          </w:tcPr>
          <w:p w14:paraId="566E5679" w14:textId="72252660" w:rsidR="00BF4F5F" w:rsidRPr="00E42B3B" w:rsidRDefault="00BF4F5F" w:rsidP="00BF4F5F">
            <w:pPr>
              <w:jc w:val="center"/>
              <w:rPr>
                <w:rFonts w:cs="Arial"/>
              </w:rPr>
            </w:pPr>
            <w:r w:rsidRPr="008242A3">
              <w:rPr>
                <w:rFonts w:cs="Arial"/>
              </w:rPr>
              <w:t xml:space="preserve">Dhaw Cruise </w:t>
            </w:r>
            <w:r>
              <w:rPr>
                <w:rFonts w:cs="Arial"/>
              </w:rPr>
              <w:t>C</w:t>
            </w:r>
            <w:r w:rsidRPr="008242A3">
              <w:rPr>
                <w:rFonts w:cs="Arial"/>
              </w:rPr>
              <w:t>reek</w:t>
            </w:r>
            <w:r>
              <w:rPr>
                <w:rFonts w:cs="Arial"/>
              </w:rPr>
              <w:t xml:space="preserve"> con cena</w:t>
            </w:r>
          </w:p>
        </w:tc>
        <w:tc>
          <w:tcPr>
            <w:tcW w:w="1428" w:type="dxa"/>
            <w:vAlign w:val="center"/>
          </w:tcPr>
          <w:p w14:paraId="61F8414A" w14:textId="163E1701" w:rsidR="00BF4F5F" w:rsidRDefault="00BF4F5F" w:rsidP="00BF4F5F">
            <w:pPr>
              <w:jc w:val="center"/>
              <w:rPr>
                <w:rFonts w:cs="Arial"/>
              </w:rPr>
            </w:pPr>
            <w:r>
              <w:rPr>
                <w:rFonts w:cs="Arial"/>
              </w:rPr>
              <w:t>65</w:t>
            </w:r>
          </w:p>
        </w:tc>
      </w:tr>
      <w:tr w:rsidR="00BF4F5F" w:rsidRPr="00554B1E" w14:paraId="53C32CBA" w14:textId="77777777" w:rsidTr="00161405">
        <w:tc>
          <w:tcPr>
            <w:tcW w:w="1696" w:type="dxa"/>
            <w:vAlign w:val="center"/>
          </w:tcPr>
          <w:p w14:paraId="6B7CB15D" w14:textId="77777777" w:rsidR="00BF4F5F" w:rsidRPr="00E42B3B" w:rsidRDefault="00BF4F5F" w:rsidP="00BF4F5F">
            <w:pPr>
              <w:jc w:val="center"/>
              <w:rPr>
                <w:rFonts w:cs="Arial"/>
                <w:caps/>
              </w:rPr>
            </w:pPr>
            <w:r w:rsidRPr="00E42B3B">
              <w:rPr>
                <w:rFonts w:cs="Arial"/>
              </w:rPr>
              <w:t>Estambul</w:t>
            </w:r>
          </w:p>
        </w:tc>
        <w:tc>
          <w:tcPr>
            <w:tcW w:w="6946" w:type="dxa"/>
            <w:vAlign w:val="center"/>
          </w:tcPr>
          <w:p w14:paraId="29AD1D25" w14:textId="77777777" w:rsidR="00BF4F5F" w:rsidRPr="00E42B3B" w:rsidRDefault="00BF4F5F" w:rsidP="00BF4F5F">
            <w:pPr>
              <w:jc w:val="center"/>
              <w:rPr>
                <w:rFonts w:cs="Arial"/>
              </w:rPr>
            </w:pPr>
            <w:r w:rsidRPr="00E42B3B">
              <w:rPr>
                <w:rFonts w:cs="Arial"/>
              </w:rPr>
              <w:t>Visita de día completo Estambul clásico con almuerzo</w:t>
            </w:r>
          </w:p>
        </w:tc>
        <w:tc>
          <w:tcPr>
            <w:tcW w:w="1428" w:type="dxa"/>
            <w:vAlign w:val="center"/>
          </w:tcPr>
          <w:p w14:paraId="7143DEB1" w14:textId="77777777" w:rsidR="00BF4F5F" w:rsidRPr="00E42B3B" w:rsidRDefault="00BF4F5F" w:rsidP="00BF4F5F">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lastRenderedPageBreak/>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107E3609" w:rsidR="009D1BFA" w:rsidRDefault="009D1BFA" w:rsidP="009D1BFA">
      <w:pPr>
        <w:pStyle w:val="vinetas"/>
        <w:jc w:val="both"/>
      </w:pPr>
      <w:r w:rsidRPr="00952BD5">
        <w:t xml:space="preserve">No somos responsables por servicios contratados en otras empresas. </w:t>
      </w:r>
    </w:p>
    <w:p w14:paraId="54EBA5CD" w14:textId="77777777" w:rsidR="00E9246A" w:rsidRDefault="00E9246A" w:rsidP="00E9246A">
      <w:pPr>
        <w:pStyle w:val="itinerario"/>
      </w:pPr>
    </w:p>
    <w:p w14:paraId="59DA46BB" w14:textId="2DECB8C0"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25DC1ED3"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89759D9" w14:textId="3EB68E60" w:rsidR="00352950" w:rsidRDefault="00352950" w:rsidP="00352950">
      <w:pPr>
        <w:pStyle w:val="itinerario"/>
      </w:pPr>
    </w:p>
    <w:p w14:paraId="7C80DD33" w14:textId="76B2F60B" w:rsidR="00E9246A" w:rsidRDefault="00E9246A" w:rsidP="00352950">
      <w:pPr>
        <w:pStyle w:val="itinerario"/>
      </w:pPr>
    </w:p>
    <w:p w14:paraId="4A960266" w14:textId="77E6ED60" w:rsidR="00E9246A" w:rsidRDefault="00E9246A" w:rsidP="00352950">
      <w:pPr>
        <w:pStyle w:val="itinerario"/>
      </w:pPr>
    </w:p>
    <w:p w14:paraId="712D7269" w14:textId="778B0DC4" w:rsidR="00E9246A" w:rsidRDefault="00E9246A" w:rsidP="00352950">
      <w:pPr>
        <w:pStyle w:val="itinerario"/>
      </w:pPr>
    </w:p>
    <w:p w14:paraId="2C9C2080" w14:textId="7C97918F" w:rsidR="00E9246A" w:rsidRDefault="00E9246A" w:rsidP="00352950">
      <w:pPr>
        <w:pStyle w:val="itinerario"/>
      </w:pPr>
    </w:p>
    <w:p w14:paraId="5DB80A97" w14:textId="787B3591" w:rsidR="00E9246A" w:rsidRDefault="00E9246A" w:rsidP="00352950">
      <w:pPr>
        <w:pStyle w:val="itinerario"/>
      </w:pPr>
    </w:p>
    <w:p w14:paraId="29C2FF67" w14:textId="38CCD27C" w:rsidR="00E9246A" w:rsidRDefault="00E9246A" w:rsidP="00352950">
      <w:pPr>
        <w:pStyle w:val="itinerario"/>
      </w:pPr>
    </w:p>
    <w:p w14:paraId="24B39E23" w14:textId="19C67C4F" w:rsidR="00E9246A" w:rsidRDefault="00E9246A" w:rsidP="00352950">
      <w:pPr>
        <w:pStyle w:val="itinerario"/>
      </w:pPr>
    </w:p>
    <w:p w14:paraId="6E9BA323" w14:textId="63CE57A5" w:rsidR="00E9246A" w:rsidRDefault="00E9246A" w:rsidP="00352950">
      <w:pPr>
        <w:pStyle w:val="itinerario"/>
      </w:pPr>
    </w:p>
    <w:p w14:paraId="7E053E5D" w14:textId="2A36656E" w:rsidR="00E9246A" w:rsidRDefault="00E9246A" w:rsidP="00352950">
      <w:pPr>
        <w:pStyle w:val="itinerario"/>
      </w:pPr>
    </w:p>
    <w:p w14:paraId="03DDF951" w14:textId="75B24F6C" w:rsidR="00E9246A" w:rsidRDefault="00E9246A" w:rsidP="00352950">
      <w:pPr>
        <w:pStyle w:val="itinerario"/>
      </w:pPr>
    </w:p>
    <w:p w14:paraId="549DC883" w14:textId="4422212E" w:rsidR="00E9246A" w:rsidRDefault="00E9246A" w:rsidP="0035295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77777777" w:rsidR="00035957" w:rsidRPr="008338E3" w:rsidRDefault="00035957" w:rsidP="00035957">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146530E" w14:textId="77777777" w:rsidR="00E9246A" w:rsidRDefault="00E9246A" w:rsidP="00035957">
      <w:pPr>
        <w:pStyle w:val="dias"/>
        <w:rPr>
          <w:caps w:val="0"/>
          <w:color w:val="1F3864"/>
          <w:sz w:val="28"/>
          <w:szCs w:val="28"/>
        </w:rPr>
      </w:pPr>
    </w:p>
    <w:p w14:paraId="61E03BDD" w14:textId="71ED1C05"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08E6BCF"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36EC1AD"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04C81337" w14:textId="77777777" w:rsidR="00FF7649" w:rsidRDefault="00FF7649" w:rsidP="00035957">
      <w:pPr>
        <w:pStyle w:val="dias"/>
        <w:jc w:val="center"/>
        <w:rPr>
          <w:caps w:val="0"/>
          <w:color w:val="1F3864"/>
          <w:sz w:val="28"/>
          <w:szCs w:val="28"/>
        </w:rPr>
      </w:pPr>
    </w:p>
    <w:p w14:paraId="340B9A2E" w14:textId="153A9DE5"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77777777" w:rsidR="00035957" w:rsidRPr="00477DDA" w:rsidRDefault="00035957" w:rsidP="0003595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6AF9" w14:textId="77777777" w:rsidR="00B206A6" w:rsidRDefault="00B206A6" w:rsidP="00AC7E3C">
      <w:pPr>
        <w:spacing w:after="0" w:line="240" w:lineRule="auto"/>
      </w:pPr>
      <w:r>
        <w:separator/>
      </w:r>
    </w:p>
  </w:endnote>
  <w:endnote w:type="continuationSeparator" w:id="0">
    <w:p w14:paraId="03CF974F" w14:textId="77777777" w:rsidR="00B206A6" w:rsidRDefault="00B206A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62A9C" w14:textId="77777777" w:rsidR="00B206A6" w:rsidRDefault="00B206A6" w:rsidP="00AC7E3C">
      <w:pPr>
        <w:spacing w:after="0" w:line="240" w:lineRule="auto"/>
      </w:pPr>
      <w:r>
        <w:separator/>
      </w:r>
    </w:p>
  </w:footnote>
  <w:footnote w:type="continuationSeparator" w:id="0">
    <w:p w14:paraId="7043B838" w14:textId="77777777" w:rsidR="00B206A6" w:rsidRDefault="00B206A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50314465">
    <w:abstractNumId w:val="4"/>
  </w:num>
  <w:num w:numId="2" w16cid:durableId="1719892450">
    <w:abstractNumId w:val="7"/>
  </w:num>
  <w:num w:numId="3" w16cid:durableId="491603858">
    <w:abstractNumId w:val="8"/>
  </w:num>
  <w:num w:numId="4" w16cid:durableId="1695229844">
    <w:abstractNumId w:val="6"/>
  </w:num>
  <w:num w:numId="5" w16cid:durableId="1060445198">
    <w:abstractNumId w:val="1"/>
  </w:num>
  <w:num w:numId="6" w16cid:durableId="780566480">
    <w:abstractNumId w:val="5"/>
  </w:num>
  <w:num w:numId="7" w16cid:durableId="1245187798">
    <w:abstractNumId w:val="2"/>
  </w:num>
  <w:num w:numId="8" w16cid:durableId="598609252">
    <w:abstractNumId w:val="0"/>
  </w:num>
  <w:num w:numId="9" w16cid:durableId="1050612732">
    <w:abstractNumId w:val="4"/>
  </w:num>
  <w:num w:numId="10" w16cid:durableId="1811432899">
    <w:abstractNumId w:val="4"/>
  </w:num>
  <w:num w:numId="11" w16cid:durableId="442652605">
    <w:abstractNumId w:val="4"/>
  </w:num>
  <w:num w:numId="12" w16cid:durableId="118033006">
    <w:abstractNumId w:val="3"/>
  </w:num>
  <w:num w:numId="13" w16cid:durableId="197224398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40DF"/>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392"/>
    <w:rsid w:val="001F36C0"/>
    <w:rsid w:val="001F494F"/>
    <w:rsid w:val="001F5BCB"/>
    <w:rsid w:val="001F6502"/>
    <w:rsid w:val="0020285A"/>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69F1"/>
    <w:rsid w:val="00327609"/>
    <w:rsid w:val="003348C9"/>
    <w:rsid w:val="00335B9B"/>
    <w:rsid w:val="00336937"/>
    <w:rsid w:val="00344B5D"/>
    <w:rsid w:val="003455B1"/>
    <w:rsid w:val="003467C4"/>
    <w:rsid w:val="0034739C"/>
    <w:rsid w:val="00352950"/>
    <w:rsid w:val="003549AA"/>
    <w:rsid w:val="0035674D"/>
    <w:rsid w:val="00357E27"/>
    <w:rsid w:val="00357F97"/>
    <w:rsid w:val="0036249B"/>
    <w:rsid w:val="003644AA"/>
    <w:rsid w:val="00367553"/>
    <w:rsid w:val="00372444"/>
    <w:rsid w:val="00372674"/>
    <w:rsid w:val="0037402F"/>
    <w:rsid w:val="00374C40"/>
    <w:rsid w:val="00374DB7"/>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44B"/>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E767E"/>
    <w:rsid w:val="006F401D"/>
    <w:rsid w:val="006F546F"/>
    <w:rsid w:val="006F6A66"/>
    <w:rsid w:val="006F6C5E"/>
    <w:rsid w:val="006F6CD4"/>
    <w:rsid w:val="006F731C"/>
    <w:rsid w:val="006F7EAC"/>
    <w:rsid w:val="007026C1"/>
    <w:rsid w:val="007066E4"/>
    <w:rsid w:val="00707262"/>
    <w:rsid w:val="00707767"/>
    <w:rsid w:val="0070777A"/>
    <w:rsid w:val="00712B52"/>
    <w:rsid w:val="00716F12"/>
    <w:rsid w:val="007205EB"/>
    <w:rsid w:val="00720655"/>
    <w:rsid w:val="007228D2"/>
    <w:rsid w:val="007243B0"/>
    <w:rsid w:val="007245EE"/>
    <w:rsid w:val="0072461C"/>
    <w:rsid w:val="0072588D"/>
    <w:rsid w:val="00726098"/>
    <w:rsid w:val="007270A4"/>
    <w:rsid w:val="00730C49"/>
    <w:rsid w:val="00734448"/>
    <w:rsid w:val="0073446F"/>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469"/>
    <w:rsid w:val="00797689"/>
    <w:rsid w:val="007A25DB"/>
    <w:rsid w:val="007A2950"/>
    <w:rsid w:val="007A37B9"/>
    <w:rsid w:val="007B00E4"/>
    <w:rsid w:val="007B014F"/>
    <w:rsid w:val="007B0D74"/>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2A3"/>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77A80"/>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34C3B"/>
    <w:rsid w:val="0094050F"/>
    <w:rsid w:val="00940685"/>
    <w:rsid w:val="00940CBE"/>
    <w:rsid w:val="00940DF4"/>
    <w:rsid w:val="00941692"/>
    <w:rsid w:val="0094554A"/>
    <w:rsid w:val="00945C15"/>
    <w:rsid w:val="0094611A"/>
    <w:rsid w:val="009465F1"/>
    <w:rsid w:val="00950138"/>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4B9F"/>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06A6"/>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2D6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42AC"/>
    <w:rsid w:val="00B8494C"/>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4F5F"/>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1224"/>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CF7BA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3002"/>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1E69"/>
    <w:rsid w:val="00E7327D"/>
    <w:rsid w:val="00E77D3A"/>
    <w:rsid w:val="00E80707"/>
    <w:rsid w:val="00E82509"/>
    <w:rsid w:val="00E8269C"/>
    <w:rsid w:val="00E8281B"/>
    <w:rsid w:val="00E84BFE"/>
    <w:rsid w:val="00E87708"/>
    <w:rsid w:val="00E87C86"/>
    <w:rsid w:val="00E9021B"/>
    <w:rsid w:val="00E9134C"/>
    <w:rsid w:val="00E9225F"/>
    <w:rsid w:val="00E9246A"/>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5B8E"/>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649"/>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06FE-A819-4016-A570-DBCD6DA833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23CF904B-AD0F-46DE-AA80-44C4842376C5}">
  <ds:schemaRefs>
    <ds:schemaRef ds:uri="http://schemas.microsoft.com/sharepoint/v3/contenttype/forms"/>
  </ds:schemaRefs>
</ds:datastoreItem>
</file>

<file path=customXml/itemProps3.xml><?xml version="1.0" encoding="utf-8"?>
<ds:datastoreItem xmlns:ds="http://schemas.openxmlformats.org/officeDocument/2006/customXml" ds:itemID="{E87D8927-9669-45C0-9B9F-600D5D513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9087</Words>
  <Characters>49983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8</cp:revision>
  <cp:lastPrinted>2017-09-05T21:30:00Z</cp:lastPrinted>
  <dcterms:created xsi:type="dcterms:W3CDTF">2024-09-24T19:01:00Z</dcterms:created>
  <dcterms:modified xsi:type="dcterms:W3CDTF">2024-12-20T22:29:00Z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13298600</vt:r8>
  </property>
  <property fmtid="{D5CDD505-2E9C-101B-9397-08002B2CF9AE}" pid="4" name="MediaServiceImageTags">
    <vt:lpwstr/>
  </property>
</Properties>
</file>