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54BE1CAA" w:rsidR="009D6237" w:rsidRPr="00D6643C" w:rsidRDefault="001F027C" w:rsidP="00FD03E3">
            <w:pPr>
              <w:jc w:val="center"/>
              <w:rPr>
                <w:b/>
                <w:color w:val="FFFFFF" w:themeColor="background1"/>
                <w:sz w:val="64"/>
                <w:szCs w:val="64"/>
              </w:rPr>
            </w:pPr>
            <w:r>
              <w:rPr>
                <w:b/>
                <w:color w:val="FFFFFF" w:themeColor="background1"/>
                <w:sz w:val="64"/>
                <w:szCs w:val="64"/>
              </w:rPr>
              <w:t xml:space="preserve">TURQUÍA </w:t>
            </w:r>
            <w:r w:rsidR="00E62039">
              <w:rPr>
                <w:b/>
                <w:color w:val="FFFFFF" w:themeColor="background1"/>
                <w:sz w:val="64"/>
                <w:szCs w:val="64"/>
              </w:rPr>
              <w:t>MARAVILLOSA</w:t>
            </w:r>
          </w:p>
        </w:tc>
      </w:tr>
    </w:tbl>
    <w:p w14:paraId="108D9E55" w14:textId="0F91B789"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r w:rsidR="001F027C">
        <w:rPr>
          <w:caps w:val="0"/>
          <w:color w:val="1F3864"/>
          <w:sz w:val="40"/>
          <w:szCs w:val="40"/>
          <w:lang w:val="es-ES"/>
        </w:rPr>
        <w:t xml:space="preserve">, </w:t>
      </w:r>
      <w:r w:rsidR="00E62039">
        <w:rPr>
          <w:caps w:val="0"/>
          <w:color w:val="1F3864"/>
          <w:sz w:val="40"/>
          <w:szCs w:val="40"/>
          <w:lang w:val="es-ES"/>
        </w:rPr>
        <w:t>Bursa, Izmir, Pamukkale, Capadocia, Ankara</w:t>
      </w:r>
    </w:p>
    <w:p w14:paraId="23FFE4F8" w14:textId="7FF0089C" w:rsidR="001E2B89" w:rsidRPr="009D6237" w:rsidRDefault="00004422" w:rsidP="00713C64">
      <w:pPr>
        <w:pStyle w:val="subtituloprograma"/>
        <w:rPr>
          <w:color w:val="1F3864"/>
        </w:rPr>
      </w:pPr>
      <w:r>
        <w:rPr>
          <w:color w:val="1F3864"/>
        </w:rPr>
        <w:t>9</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8</w:t>
      </w:r>
      <w:r w:rsidR="00F21270" w:rsidRPr="009D6237">
        <w:rPr>
          <w:color w:val="1F3864"/>
        </w:rPr>
        <w:t xml:space="preserve"> noches</w:t>
      </w:r>
    </w:p>
    <w:p w14:paraId="2AFFB983" w14:textId="77777777" w:rsidR="004D209E" w:rsidRDefault="004D209E" w:rsidP="00713C64">
      <w:pPr>
        <w:pStyle w:val="itinerario"/>
      </w:pPr>
    </w:p>
    <w:p w14:paraId="2F7CB201" w14:textId="138F9C5E" w:rsidR="00713C64" w:rsidRDefault="00017CBB" w:rsidP="00713C64">
      <w:pPr>
        <w:pStyle w:val="itinerario"/>
      </w:pPr>
      <w:r>
        <w:rPr>
          <w:noProof/>
          <w:lang w:eastAsia="es-CO" w:bidi="ar-SA"/>
        </w:rPr>
        <w:drawing>
          <wp:inline distT="0" distB="0" distL="0" distR="0" wp14:anchorId="076E8AFC" wp14:editId="1685AAFE">
            <wp:extent cx="3190875" cy="2646680"/>
            <wp:effectExtent l="0" t="0" r="9525"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7">
                      <a:extLst>
                        <a:ext uri="{28A0092B-C50C-407E-A947-70E740481C1C}">
                          <a14:useLocalDpi xmlns:a14="http://schemas.microsoft.com/office/drawing/2010/main" val="0"/>
                        </a:ext>
                      </a:extLst>
                    </a:blip>
                    <a:stretch>
                      <a:fillRect/>
                    </a:stretch>
                  </pic:blipFill>
                  <pic:spPr>
                    <a:xfrm>
                      <a:off x="0" y="0"/>
                      <a:ext cx="3216122" cy="2667621"/>
                    </a:xfrm>
                    <a:prstGeom prst="rect">
                      <a:avLst/>
                    </a:prstGeom>
                  </pic:spPr>
                </pic:pic>
              </a:graphicData>
            </a:graphic>
          </wp:inline>
        </w:drawing>
      </w:r>
      <w:r w:rsidR="00713C64">
        <w:rPr>
          <w:noProof/>
          <w:lang w:eastAsia="es-CO" w:bidi="ar-SA"/>
        </w:rPr>
        <w:drawing>
          <wp:inline distT="0" distB="0" distL="0" distR="0" wp14:anchorId="29025DD1" wp14:editId="3CDC8945">
            <wp:extent cx="3190875" cy="2643156"/>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a:extLst>
                        <a:ext uri="{28A0092B-C50C-407E-A947-70E740481C1C}">
                          <a14:useLocalDpi xmlns:a14="http://schemas.microsoft.com/office/drawing/2010/main" val="0"/>
                        </a:ext>
                      </a:extLst>
                    </a:blip>
                    <a:stretch>
                      <a:fillRect/>
                    </a:stretch>
                  </pic:blipFill>
                  <pic:spPr>
                    <a:xfrm>
                      <a:off x="0" y="0"/>
                      <a:ext cx="3206473" cy="2656076"/>
                    </a:xfrm>
                    <a:prstGeom prst="rect">
                      <a:avLst/>
                    </a:prstGeom>
                  </pic:spPr>
                </pic:pic>
              </a:graphicData>
            </a:graphic>
          </wp:inline>
        </w:drawing>
      </w:r>
    </w:p>
    <w:p w14:paraId="5DC59AEA" w14:textId="77777777" w:rsidR="00F24EC4" w:rsidRPr="006F7833" w:rsidRDefault="00F24EC4" w:rsidP="00713C64">
      <w:pPr>
        <w:pStyle w:val="itinerario"/>
      </w:pPr>
    </w:p>
    <w:p w14:paraId="00D4F8F3" w14:textId="0B141555" w:rsidR="007B2EF9" w:rsidRDefault="00017CBB" w:rsidP="00017CBB">
      <w:pPr>
        <w:pStyle w:val="itinerario"/>
      </w:pPr>
      <w:r>
        <w:t xml:space="preserve">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w:t>
      </w:r>
      <w:r w:rsidR="00004422">
        <w:t xml:space="preserve">Las </w:t>
      </w:r>
      <w:r w:rsidR="00004422" w:rsidRPr="00004422">
        <w:t>ruinas de Éfeso, una de las ciudades antiguas más importantes del Asia Menor. Pamukkale, en el suroeste de Anatolia, se encuentra junto con la antigua ciudad de Hierápolis</w:t>
      </w:r>
      <w:r w:rsidR="00004422">
        <w:t>;</w:t>
      </w:r>
      <w:r w:rsidR="00004422" w:rsidRPr="00004422">
        <w:t xml:space="preserve"> </w:t>
      </w:r>
      <w:r w:rsidR="00004422">
        <w:t>c</w:t>
      </w:r>
      <w:r w:rsidR="00004422" w:rsidRPr="00004422">
        <w:t xml:space="preserve">ontemplando de lejos </w:t>
      </w:r>
      <w:r w:rsidR="00004422">
        <w:t>las</w:t>
      </w:r>
      <w:r w:rsidR="00004422" w:rsidRPr="00004422">
        <w:t xml:space="preserve"> formaciones rocosas de Pamukkale, dan la sensación de ser nubes de miles de metros de altura o terrazas de campos luminiscentes cubiertas de cristalinas y blancas nieves.</w:t>
      </w:r>
      <w:r w:rsidR="00004422">
        <w:t xml:space="preserve"> </w:t>
      </w:r>
      <w:r>
        <w:t>La región de Capadocia se encuentra en medio de una antigua zona volcánica en el centro de Anatolia. Su peculiar paisaje, sus tradiciones y la mística que envuelven a la región conocida como «hogar de las hadas» la han convertido en un lugar cada vez más solicitado.</w:t>
      </w:r>
    </w:p>
    <w:p w14:paraId="2AD4CBBD" w14:textId="4098CB0E" w:rsidR="00185465" w:rsidRDefault="000459B8" w:rsidP="00185465">
      <w:pPr>
        <w:pStyle w:val="dias"/>
        <w:ind w:left="1410" w:hanging="1410"/>
        <w:jc w:val="both"/>
        <w:rPr>
          <w:b w:val="0"/>
          <w:caps w:val="0"/>
          <w:sz w:val="22"/>
          <w:szCs w:val="22"/>
        </w:rPr>
      </w:pPr>
      <w:r w:rsidRPr="009D6237">
        <w:rPr>
          <w:rStyle w:val="diasCar"/>
          <w:b/>
          <w:bCs/>
          <w:color w:val="1F3864"/>
          <w:sz w:val="28"/>
          <w:szCs w:val="28"/>
        </w:rPr>
        <w:t>SALIDA</w:t>
      </w:r>
      <w:r w:rsidR="00713C64">
        <w:rPr>
          <w:rStyle w:val="diasCar"/>
          <w:b/>
          <w:bCs/>
          <w:caps/>
        </w:rPr>
        <w:tab/>
      </w:r>
      <w:r w:rsidR="008E66EE">
        <w:rPr>
          <w:b w:val="0"/>
          <w:caps w:val="0"/>
          <w:sz w:val="22"/>
          <w:szCs w:val="22"/>
        </w:rPr>
        <w:t>jueves, viernes o sábado</w:t>
      </w:r>
    </w:p>
    <w:p w14:paraId="1BD78424" w14:textId="410DB4B7" w:rsidR="00060439" w:rsidRPr="00134D2B" w:rsidRDefault="00185465" w:rsidP="00134D2B">
      <w:pPr>
        <w:pStyle w:val="itinerario"/>
        <w:ind w:left="702" w:firstLine="708"/>
      </w:pPr>
      <w:r w:rsidRPr="00134D2B">
        <w:t xml:space="preserve">El trayecto terrestre del </w:t>
      </w:r>
      <w:r w:rsidR="00060439" w:rsidRPr="00134D2B">
        <w:t xml:space="preserve">circuito </w:t>
      </w:r>
      <w:r w:rsidRPr="00134D2B">
        <w:t xml:space="preserve">inicia el día domingo: </w:t>
      </w:r>
      <w:r w:rsidR="00060439" w:rsidRPr="00134D2B">
        <w:t>Estambul – Bursa – I</w:t>
      </w:r>
      <w:r w:rsidRPr="00134D2B">
        <w:t>z</w:t>
      </w:r>
      <w:r w:rsidR="00060439" w:rsidRPr="00134D2B">
        <w:t>mir</w:t>
      </w:r>
      <w:r w:rsidRPr="00134D2B">
        <w:t>.</w:t>
      </w:r>
    </w:p>
    <w:p w14:paraId="3085E62E" w14:textId="77777777" w:rsidR="001D5CBA" w:rsidRDefault="001D5CBA" w:rsidP="00914B0D">
      <w:pPr>
        <w:pStyle w:val="dias"/>
        <w:rPr>
          <w:caps w:val="0"/>
          <w:color w:val="1F3864"/>
          <w:sz w:val="28"/>
          <w:szCs w:val="28"/>
        </w:rPr>
      </w:pPr>
    </w:p>
    <w:p w14:paraId="68B48578" w14:textId="45DAAA2B" w:rsidR="001D5CBA" w:rsidRDefault="001D5CBA" w:rsidP="00914B0D">
      <w:pPr>
        <w:pStyle w:val="dias"/>
        <w:rPr>
          <w:caps w:val="0"/>
          <w:color w:val="1F3864"/>
          <w:sz w:val="28"/>
          <w:szCs w:val="28"/>
        </w:rPr>
      </w:pPr>
    </w:p>
    <w:p w14:paraId="70BF1DB8" w14:textId="77777777" w:rsidR="00134D2B" w:rsidRDefault="00134D2B" w:rsidP="00914B0D">
      <w:pPr>
        <w:pStyle w:val="dias"/>
        <w:rPr>
          <w:caps w:val="0"/>
          <w:color w:val="1F3864"/>
          <w:sz w:val="28"/>
          <w:szCs w:val="28"/>
        </w:rPr>
      </w:pPr>
    </w:p>
    <w:p w14:paraId="300E4541" w14:textId="707132B8" w:rsidR="00F21270" w:rsidRPr="009D6237" w:rsidRDefault="000459B8" w:rsidP="00914B0D">
      <w:pPr>
        <w:pStyle w:val="dias"/>
        <w:rPr>
          <w:color w:val="1F3864"/>
          <w:sz w:val="28"/>
          <w:szCs w:val="28"/>
        </w:rPr>
      </w:pPr>
      <w:r w:rsidRPr="009D6237">
        <w:rPr>
          <w:caps w:val="0"/>
          <w:color w:val="1F3864"/>
          <w:sz w:val="28"/>
          <w:szCs w:val="28"/>
        </w:rPr>
        <w:lastRenderedPageBreak/>
        <w:t>INCLUYE</w:t>
      </w:r>
    </w:p>
    <w:p w14:paraId="2E839B60" w14:textId="4EA22120" w:rsidR="006F7833"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3CDD974D" w14:textId="5D6C55A0" w:rsidR="00060439" w:rsidRPr="00CB1B7F" w:rsidRDefault="00185465" w:rsidP="00CB1B7F">
      <w:pPr>
        <w:pStyle w:val="vinetas"/>
        <w:jc w:val="both"/>
      </w:pPr>
      <w:bookmarkStart w:id="0" w:name="_Hlk161329989"/>
      <w:r w:rsidRPr="00185465">
        <w:t>Transporte terrestre como lo indica el itinerario: Estambul – I</w:t>
      </w:r>
      <w:r w:rsidR="004E030B">
        <w:t>z</w:t>
      </w:r>
      <w:r w:rsidRPr="00185465">
        <w:t>mir</w:t>
      </w:r>
      <w:r>
        <w:t xml:space="preserve"> – Pamukkale – Capadocia – Estambul.</w:t>
      </w:r>
    </w:p>
    <w:bookmarkEnd w:id="0"/>
    <w:p w14:paraId="4F395570" w14:textId="24B12B42" w:rsidR="00B1533E" w:rsidRDefault="00480B47" w:rsidP="00CB1B7F">
      <w:pPr>
        <w:pStyle w:val="vinetas"/>
        <w:jc w:val="both"/>
      </w:pPr>
      <w:r>
        <w:t>4</w:t>
      </w:r>
      <w:r w:rsidR="00B1533E" w:rsidRPr="00CB1B7F">
        <w:t xml:space="preserve"> </w:t>
      </w:r>
      <w:r w:rsidR="009308A8" w:rsidRPr="00CB1B7F">
        <w:t>n</w:t>
      </w:r>
      <w:r w:rsidR="009B1242" w:rsidRPr="00CB1B7F">
        <w:t>oches de</w:t>
      </w:r>
      <w:r w:rsidR="00B1533E" w:rsidRPr="00CB1B7F">
        <w:t xml:space="preserve"> alojamiento </w:t>
      </w:r>
      <w:r w:rsidR="00635EB7">
        <w:t>en Estambul</w:t>
      </w:r>
      <w:bookmarkStart w:id="1" w:name="_Hlk161307465"/>
      <w:r w:rsidR="00635EB7">
        <w:t xml:space="preserve">, </w:t>
      </w:r>
      <w:r w:rsidR="00B1533E" w:rsidRPr="00CB1B7F">
        <w:t xml:space="preserve">en el hotel seleccionado. </w:t>
      </w:r>
      <w:bookmarkEnd w:id="1"/>
    </w:p>
    <w:p w14:paraId="348D1BDD" w14:textId="121D40A1" w:rsidR="006C70A0" w:rsidRDefault="006C70A0" w:rsidP="00CB1B7F">
      <w:pPr>
        <w:pStyle w:val="vinetas"/>
        <w:jc w:val="both"/>
      </w:pPr>
      <w:r>
        <w:t xml:space="preserve">1 noche de alojamiento en </w:t>
      </w:r>
      <w:r w:rsidR="002101A1">
        <w:t xml:space="preserve">la Zona de </w:t>
      </w:r>
      <w:r>
        <w:t>Izmir</w:t>
      </w:r>
      <w:r w:rsidR="00B56230">
        <w:t xml:space="preserve">, </w:t>
      </w:r>
      <w:r w:rsidR="00B56230" w:rsidRPr="00CB1B7F">
        <w:t>en el hotel seleccionado.</w:t>
      </w:r>
    </w:p>
    <w:p w14:paraId="4257CC37" w14:textId="7F12D96A" w:rsidR="006C70A0" w:rsidRDefault="00480B47" w:rsidP="00CB1B7F">
      <w:pPr>
        <w:pStyle w:val="vinetas"/>
        <w:jc w:val="both"/>
      </w:pPr>
      <w:r>
        <w:t>1 noche de alojamiento en Pamukkale</w:t>
      </w:r>
      <w:r w:rsidR="00B56230">
        <w:t xml:space="preserve">, </w:t>
      </w:r>
      <w:r w:rsidR="00B56230" w:rsidRPr="00CB1B7F">
        <w:t>en el hotel seleccionado.</w:t>
      </w:r>
    </w:p>
    <w:p w14:paraId="6D650593" w14:textId="392D9A7F" w:rsidR="00635EB7" w:rsidRDefault="00635EB7" w:rsidP="00CB1B7F">
      <w:pPr>
        <w:pStyle w:val="vinetas"/>
        <w:jc w:val="both"/>
      </w:pPr>
      <w:r>
        <w:t>2 noches de alojamiento en Capadocia</w:t>
      </w:r>
      <w:r w:rsidR="00F34CED">
        <w:t xml:space="preserve">, </w:t>
      </w:r>
      <w:r w:rsidR="00F34CED" w:rsidRPr="00CB1B7F">
        <w:t>en el hotel seleccionado.</w:t>
      </w:r>
    </w:p>
    <w:p w14:paraId="5E3720A3" w14:textId="77777777" w:rsidR="00635EB7" w:rsidRDefault="00B1533E" w:rsidP="00CB1B7F">
      <w:pPr>
        <w:pStyle w:val="vinetas"/>
        <w:jc w:val="both"/>
      </w:pPr>
      <w:r w:rsidRPr="00CB1B7F">
        <w:t xml:space="preserve">Desayuno </w:t>
      </w:r>
      <w:r w:rsidR="00CA76E9">
        <w:t>diario</w:t>
      </w:r>
      <w:r w:rsidRPr="00CB1B7F">
        <w:t>.</w:t>
      </w:r>
    </w:p>
    <w:p w14:paraId="0C93DE8E" w14:textId="7A8F711F" w:rsidR="00B56230" w:rsidRDefault="00B56230" w:rsidP="00CB1B7F">
      <w:pPr>
        <w:pStyle w:val="vinetas"/>
        <w:jc w:val="both"/>
      </w:pPr>
      <w:r>
        <w:t xml:space="preserve">1 cena en </w:t>
      </w:r>
      <w:r w:rsidR="00B0224B">
        <w:t xml:space="preserve">la Zona de Izmir </w:t>
      </w:r>
      <w:r>
        <w:t>(no incluye bebidas).</w:t>
      </w:r>
    </w:p>
    <w:p w14:paraId="4B8D72EA" w14:textId="08BED511" w:rsidR="00B56230" w:rsidRDefault="00B56230" w:rsidP="00CB1B7F">
      <w:pPr>
        <w:pStyle w:val="vinetas"/>
        <w:jc w:val="both"/>
      </w:pPr>
      <w:r>
        <w:t>1 cena en Pamukkale (no incluye bebidas).</w:t>
      </w:r>
      <w:r w:rsidRPr="00CB1B7F">
        <w:tab/>
      </w:r>
    </w:p>
    <w:p w14:paraId="551773FC" w14:textId="6BA08E44" w:rsidR="00635EB7" w:rsidRDefault="006F7817" w:rsidP="00392B26">
      <w:pPr>
        <w:pStyle w:val="vinetas"/>
        <w:jc w:val="both"/>
      </w:pPr>
      <w:r>
        <w:t>2 cenas en el hotel en Capadocia (no incluye bebidas).</w:t>
      </w:r>
      <w:r>
        <w:tab/>
      </w:r>
    </w:p>
    <w:p w14:paraId="15929597" w14:textId="111D5A08" w:rsidR="008E66EE" w:rsidRDefault="008E66EE" w:rsidP="008E66EE">
      <w:pPr>
        <w:pStyle w:val="vinetas"/>
      </w:pPr>
      <w:r>
        <w:t>Excursión de día completo, Estambul clásica</w:t>
      </w:r>
      <w:r w:rsidR="005716E4">
        <w:t>, en servicio compartido.</w:t>
      </w:r>
      <w:r>
        <w:t xml:space="preserve"> Almuerzo incluido (sin bebidas).</w:t>
      </w:r>
    </w:p>
    <w:p w14:paraId="33817E53" w14:textId="40793CE5" w:rsidR="008E66EE" w:rsidRDefault="008E66EE" w:rsidP="008E66EE">
      <w:pPr>
        <w:pStyle w:val="vinetas"/>
      </w:pPr>
      <w:r>
        <w:t>Excursión de día completo, Estambul Bósforo</w:t>
      </w:r>
      <w:r w:rsidR="005716E4">
        <w:t>, en servicio compartido.</w:t>
      </w:r>
      <w:r>
        <w:t xml:space="preserve"> Almuerzo incluido (sin bebidas).</w:t>
      </w:r>
    </w:p>
    <w:p w14:paraId="08A72221" w14:textId="35C6983D" w:rsidR="005716E4" w:rsidRDefault="005716E4" w:rsidP="005716E4">
      <w:pPr>
        <w:pStyle w:val="vinetas"/>
      </w:pPr>
      <w:r>
        <w:t>Visita de la</w:t>
      </w:r>
      <w:r w:rsidRPr="005716E4">
        <w:t xml:space="preserve"> Mezquita Grande y el Bazar de la Seda</w:t>
      </w:r>
      <w:r>
        <w:t>, en servicio compartido</w:t>
      </w:r>
      <w:r w:rsidR="006C70A0">
        <w:t>, en Bursa</w:t>
      </w:r>
      <w:r>
        <w:t>.</w:t>
      </w:r>
    </w:p>
    <w:p w14:paraId="350A7AC6" w14:textId="2139717A" w:rsidR="006C70A0" w:rsidRPr="006C70A0" w:rsidRDefault="006C70A0" w:rsidP="006C70A0">
      <w:pPr>
        <w:pStyle w:val="vinetas"/>
      </w:pPr>
      <w:r w:rsidRPr="006C70A0">
        <w:t xml:space="preserve">Visita </w:t>
      </w:r>
      <w:r w:rsidR="00480B47">
        <w:t xml:space="preserve">a los vestigios arqueológicos, </w:t>
      </w:r>
      <w:r w:rsidRPr="006C70A0">
        <w:t xml:space="preserve">en servicio compartido, en </w:t>
      </w:r>
      <w:r w:rsidR="00480B47">
        <w:t>Éfeso</w:t>
      </w:r>
      <w:r w:rsidRPr="006C70A0">
        <w:t>.</w:t>
      </w:r>
    </w:p>
    <w:p w14:paraId="1ECB273E" w14:textId="44F22C90" w:rsidR="006C70A0" w:rsidRDefault="00480B47" w:rsidP="005716E4">
      <w:pPr>
        <w:pStyle w:val="vinetas"/>
      </w:pPr>
      <w:r w:rsidRPr="00480B47">
        <w:t>Visita a Hierápolis</w:t>
      </w:r>
      <w:r>
        <w:t>, en servicio compartido, en Pamukkale.</w:t>
      </w:r>
    </w:p>
    <w:p w14:paraId="53163103" w14:textId="77FBEB4B" w:rsidR="00480B47" w:rsidRDefault="00480B47" w:rsidP="00480B47">
      <w:pPr>
        <w:pStyle w:val="vinetas"/>
        <w:jc w:val="both"/>
      </w:pPr>
      <w:r w:rsidRPr="00F34CED">
        <w:t xml:space="preserve">En la ruta </w:t>
      </w:r>
      <w:r>
        <w:t xml:space="preserve">de Pamukkale a Capadocia visita de </w:t>
      </w:r>
      <w:r w:rsidRPr="00F34CED">
        <w:t xml:space="preserve">una posada medieval de la Ruta de </w:t>
      </w:r>
      <w:r>
        <w:t xml:space="preserve">la </w:t>
      </w:r>
      <w:r w:rsidRPr="00F34CED">
        <w:t>Seda</w:t>
      </w:r>
      <w:r>
        <w:t>, en servicio compartido.</w:t>
      </w:r>
    </w:p>
    <w:p w14:paraId="37A24926" w14:textId="612840EE" w:rsidR="00480B47" w:rsidRDefault="00480B47" w:rsidP="00480B47">
      <w:pPr>
        <w:pStyle w:val="vinetas"/>
        <w:jc w:val="both"/>
      </w:pPr>
      <w:r>
        <w:t>Ex</w:t>
      </w:r>
      <w:r w:rsidRPr="00CB1B7F">
        <w:t>cursi</w:t>
      </w:r>
      <w:r>
        <w:t>ón</w:t>
      </w:r>
      <w:r w:rsidRPr="00CB1B7F">
        <w:t xml:space="preserve"> de día completo</w:t>
      </w:r>
      <w:r>
        <w:t xml:space="preserve"> en la Capadocia, en servicio compartido. </w:t>
      </w:r>
    </w:p>
    <w:p w14:paraId="5B7D1E72" w14:textId="3EF11B03" w:rsidR="00F34CED" w:rsidRDefault="00F34CED" w:rsidP="00ED0A12">
      <w:pPr>
        <w:pStyle w:val="vinetas"/>
        <w:jc w:val="both"/>
      </w:pPr>
      <w:r>
        <w:t xml:space="preserve">Visita del Museo de Ataturk </w:t>
      </w:r>
      <w:r w:rsidR="00854679">
        <w:t xml:space="preserve">y al Museo de la Independencia, </w:t>
      </w:r>
      <w:r w:rsidR="009237F0">
        <w:t xml:space="preserve">en servicio compartido, </w:t>
      </w:r>
      <w:r>
        <w:t>en Ankara.</w:t>
      </w:r>
    </w:p>
    <w:p w14:paraId="633286DD" w14:textId="66E1675D" w:rsidR="006F7833" w:rsidRDefault="00B1533E" w:rsidP="00CB1B7F">
      <w:pPr>
        <w:pStyle w:val="vinetas"/>
        <w:jc w:val="both"/>
      </w:pPr>
      <w:r w:rsidRPr="00CB1B7F">
        <w:t>Impuestos hoteleros.</w:t>
      </w:r>
    </w:p>
    <w:p w14:paraId="70474AF3" w14:textId="77777777" w:rsidR="00484D0B" w:rsidRPr="00CB1B7F" w:rsidRDefault="00484D0B" w:rsidP="00484D0B">
      <w:pPr>
        <w:pStyle w:val="itinerario"/>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t>NO INCLUYE</w:t>
      </w:r>
    </w:p>
    <w:p w14:paraId="53EDA566" w14:textId="77777777" w:rsidR="007B2EF9" w:rsidRDefault="007B2EF9" w:rsidP="00DA083B">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6C82E16D" w:rsidR="007B2EF9" w:rsidRDefault="007B2EF9" w:rsidP="00DA083B">
      <w:pPr>
        <w:pStyle w:val="vinetas"/>
        <w:jc w:val="both"/>
      </w:pPr>
      <w:bookmarkStart w:id="2" w:name="_Hlk161242224"/>
      <w:r w:rsidRPr="004454E4">
        <w:t xml:space="preserve">Tiquetes </w:t>
      </w:r>
      <w:r w:rsidR="00DA083B">
        <w:t>a</w:t>
      </w:r>
      <w:r w:rsidRPr="004454E4">
        <w:t>éreos</w:t>
      </w:r>
      <w:r w:rsidR="00DA083B">
        <w:t xml:space="preserve"> internacionales</w:t>
      </w:r>
      <w:r w:rsidRPr="004454E4">
        <w:t>. (Q de combustible, Impuestos de tiquete, Tasa Administrativa).</w:t>
      </w:r>
    </w:p>
    <w:bookmarkEnd w:id="2"/>
    <w:p w14:paraId="18E8BB2E" w14:textId="77777777" w:rsidR="007B2EF9" w:rsidRPr="004454E4" w:rsidRDefault="007B2EF9" w:rsidP="00DA083B">
      <w:pPr>
        <w:pStyle w:val="vinetas"/>
        <w:jc w:val="both"/>
      </w:pPr>
      <w:r>
        <w:t>Tasas de aeropuerto.</w:t>
      </w:r>
    </w:p>
    <w:p w14:paraId="1627E53D" w14:textId="77777777" w:rsidR="007B2EF9" w:rsidRPr="004454E4" w:rsidRDefault="007B2EF9" w:rsidP="00DA083B">
      <w:pPr>
        <w:pStyle w:val="vinetas"/>
        <w:jc w:val="both"/>
      </w:pPr>
      <w:r w:rsidRPr="004454E4">
        <w:t>Alimentación no estipulada en los itinerarios.</w:t>
      </w:r>
    </w:p>
    <w:p w14:paraId="1392015F" w14:textId="77777777" w:rsidR="007B2EF9" w:rsidRPr="001A1A06" w:rsidRDefault="007B2EF9" w:rsidP="00DA083B">
      <w:pPr>
        <w:pStyle w:val="vinetas"/>
        <w:jc w:val="both"/>
      </w:pPr>
      <w:r w:rsidRPr="001A1A06">
        <w:t>Bebidas con las comidas.</w:t>
      </w:r>
    </w:p>
    <w:p w14:paraId="634B536E" w14:textId="77777777" w:rsidR="007B2EF9" w:rsidRPr="004454E4" w:rsidRDefault="007B2EF9" w:rsidP="00DA083B">
      <w:pPr>
        <w:pStyle w:val="vinetas"/>
        <w:jc w:val="both"/>
      </w:pPr>
      <w:r w:rsidRPr="004454E4">
        <w:t>Propinas.</w:t>
      </w:r>
    </w:p>
    <w:p w14:paraId="5BCC8C75" w14:textId="77777777" w:rsidR="007B2EF9" w:rsidRPr="004454E4" w:rsidRDefault="007B2EF9" w:rsidP="00DA083B">
      <w:pPr>
        <w:pStyle w:val="vinetas"/>
        <w:jc w:val="both"/>
      </w:pPr>
      <w:r w:rsidRPr="004454E4">
        <w:t>Traslados donde no esté contemplado.</w:t>
      </w:r>
    </w:p>
    <w:p w14:paraId="51355B1D" w14:textId="77777777" w:rsidR="007B2EF9" w:rsidRPr="004454E4" w:rsidRDefault="007B2EF9" w:rsidP="00DA083B">
      <w:pPr>
        <w:pStyle w:val="vinetas"/>
        <w:jc w:val="both"/>
      </w:pPr>
      <w:r w:rsidRPr="004454E4">
        <w:t>Extras de ningún tipo en los hoteles.</w:t>
      </w:r>
    </w:p>
    <w:p w14:paraId="06F555FC" w14:textId="77777777" w:rsidR="007B2EF9" w:rsidRPr="004454E4" w:rsidRDefault="007B2EF9" w:rsidP="00DA083B">
      <w:pPr>
        <w:pStyle w:val="vinetas"/>
        <w:jc w:val="both"/>
      </w:pPr>
      <w:r w:rsidRPr="004454E4">
        <w:t>Excesos de equipaje.</w:t>
      </w:r>
    </w:p>
    <w:p w14:paraId="0CF04DFC" w14:textId="77777777" w:rsidR="007B2EF9" w:rsidRPr="004454E4" w:rsidRDefault="007B2EF9" w:rsidP="00DA083B">
      <w:pPr>
        <w:pStyle w:val="vinetas"/>
        <w:jc w:val="both"/>
      </w:pPr>
      <w:r w:rsidRPr="004454E4">
        <w:t>Gastos de índole personal.</w:t>
      </w:r>
    </w:p>
    <w:p w14:paraId="79EC812E" w14:textId="77777777" w:rsidR="007B2EF9" w:rsidRPr="004454E4" w:rsidRDefault="007B2EF9" w:rsidP="00DA083B">
      <w:pPr>
        <w:pStyle w:val="vinetas"/>
        <w:jc w:val="both"/>
      </w:pPr>
      <w:r w:rsidRPr="004454E4">
        <w:t>Gastos médicos.</w:t>
      </w:r>
    </w:p>
    <w:p w14:paraId="0124AA3D" w14:textId="5DF54242" w:rsidR="007B2EF9" w:rsidRDefault="007B2EF9" w:rsidP="00DA083B">
      <w:pPr>
        <w:pStyle w:val="vinetas"/>
        <w:jc w:val="both"/>
      </w:pPr>
      <w:r w:rsidRPr="004454E4">
        <w:t>Tarjeta de asistencia médica.</w:t>
      </w:r>
    </w:p>
    <w:p w14:paraId="24FBC7ED" w14:textId="6EE3FD79" w:rsidR="00DA083B" w:rsidRDefault="00DA083B" w:rsidP="00784261">
      <w:pPr>
        <w:pStyle w:val="itinerario"/>
      </w:pPr>
    </w:p>
    <w:p w14:paraId="3B7FFEDF" w14:textId="77777777" w:rsidR="00134D2B" w:rsidRDefault="00134D2B" w:rsidP="00784261">
      <w:pPr>
        <w:pStyle w:val="itinerario"/>
      </w:pPr>
    </w:p>
    <w:p w14:paraId="6CCFD4C3" w14:textId="131977A6" w:rsidR="001D5CBA" w:rsidRDefault="001D5CBA" w:rsidP="00784261">
      <w:pPr>
        <w:pStyle w:val="itinerario"/>
      </w:pPr>
    </w:p>
    <w:p w14:paraId="530FE662" w14:textId="6B3831CF" w:rsidR="00064636" w:rsidRDefault="00064636" w:rsidP="00784261">
      <w:pPr>
        <w:pStyle w:val="itinerario"/>
      </w:pPr>
    </w:p>
    <w:p w14:paraId="65DBC776" w14:textId="77777777" w:rsidR="00064636" w:rsidRDefault="00064636" w:rsidP="00784261">
      <w:pPr>
        <w:pStyle w:val="itinerario"/>
      </w:pPr>
    </w:p>
    <w:p w14:paraId="44E38AE7" w14:textId="6854A119" w:rsidR="001D5CBA" w:rsidRDefault="001D5CBA" w:rsidP="00784261">
      <w:pPr>
        <w:pStyle w:val="itinerario"/>
      </w:pPr>
    </w:p>
    <w:p w14:paraId="11B52C7A" w14:textId="77777777" w:rsidR="001D5CBA" w:rsidRDefault="001D5CBA" w:rsidP="0078426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2181D350" w14:textId="332D23E6" w:rsidR="009D6237" w:rsidRDefault="00150FA0" w:rsidP="00015DCC">
      <w:pPr>
        <w:pStyle w:val="dias"/>
        <w:rPr>
          <w:caps w:val="0"/>
          <w:color w:val="1F3864"/>
          <w:sz w:val="28"/>
          <w:szCs w:val="28"/>
        </w:rPr>
      </w:pPr>
      <w:r w:rsidRPr="00015DCC">
        <w:rPr>
          <w:caps w:val="0"/>
          <w:color w:val="1F3864"/>
          <w:sz w:val="28"/>
          <w:szCs w:val="28"/>
        </w:rPr>
        <w:t>DÍA 1</w:t>
      </w:r>
      <w:r w:rsidRPr="00015DCC">
        <w:rPr>
          <w:caps w:val="0"/>
          <w:color w:val="1F3864"/>
          <w:sz w:val="28"/>
          <w:szCs w:val="28"/>
        </w:rPr>
        <w:tab/>
      </w:r>
      <w:r w:rsidRPr="00015DCC">
        <w:rPr>
          <w:caps w:val="0"/>
          <w:color w:val="1F3864"/>
          <w:sz w:val="28"/>
          <w:szCs w:val="28"/>
        </w:rPr>
        <w:tab/>
        <w:t>ESTAMBUL</w:t>
      </w:r>
    </w:p>
    <w:p w14:paraId="1C276412" w14:textId="77777777" w:rsidR="00185465" w:rsidRDefault="00185465" w:rsidP="00185465">
      <w:pPr>
        <w:pStyle w:val="itinerario"/>
        <w:rPr>
          <w:lang w:val="es-ES"/>
        </w:rPr>
      </w:pPr>
      <w:r>
        <w:t>A la llegada, recibimiento</w:t>
      </w:r>
      <w:r>
        <w:rPr>
          <w:lang w:val="es-ES"/>
        </w:rPr>
        <w:t xml:space="preserve"> en el aeropuerto y traslado al hotel. Alojamiento.</w:t>
      </w:r>
    </w:p>
    <w:p w14:paraId="1448301E" w14:textId="26C0AE25" w:rsidR="008E66EE" w:rsidRPr="008427FB" w:rsidRDefault="00150FA0" w:rsidP="008E66EE">
      <w:pPr>
        <w:pStyle w:val="dias"/>
        <w:rPr>
          <w:color w:val="1F3864"/>
          <w:sz w:val="28"/>
          <w:szCs w:val="28"/>
          <w:lang w:val="es-ES"/>
        </w:rPr>
      </w:pPr>
      <w:r w:rsidRPr="008427FB">
        <w:rPr>
          <w:caps w:val="0"/>
          <w:color w:val="1F3864"/>
          <w:sz w:val="28"/>
          <w:szCs w:val="28"/>
          <w:lang w:val="es-ES"/>
        </w:rPr>
        <w:t xml:space="preserve">DÍA </w:t>
      </w:r>
      <w:r>
        <w:rPr>
          <w:caps w:val="0"/>
          <w:color w:val="1F3864"/>
          <w:sz w:val="28"/>
          <w:szCs w:val="28"/>
          <w:lang w:val="es-ES"/>
        </w:rPr>
        <w:t>2</w:t>
      </w:r>
      <w:r w:rsidRPr="008427FB">
        <w:rPr>
          <w:caps w:val="0"/>
          <w:color w:val="1F3864"/>
          <w:sz w:val="28"/>
          <w:szCs w:val="28"/>
          <w:lang w:val="es-ES"/>
        </w:rPr>
        <w:tab/>
      </w:r>
      <w:r w:rsidRPr="008427FB">
        <w:rPr>
          <w:caps w:val="0"/>
          <w:color w:val="1F3864"/>
          <w:sz w:val="28"/>
          <w:szCs w:val="28"/>
          <w:lang w:val="es-ES"/>
        </w:rPr>
        <w:tab/>
        <w:t>ESTAMBUL</w:t>
      </w:r>
      <w:r>
        <w:rPr>
          <w:caps w:val="0"/>
          <w:color w:val="1F3864"/>
          <w:sz w:val="28"/>
          <w:szCs w:val="28"/>
          <w:lang w:val="es-ES"/>
        </w:rPr>
        <w:t xml:space="preserve"> BÓSFORO</w:t>
      </w:r>
    </w:p>
    <w:p w14:paraId="306AA752" w14:textId="35E0C7CA" w:rsidR="008E66EE" w:rsidRDefault="008E66EE" w:rsidP="008E66EE">
      <w:pPr>
        <w:pStyle w:val="itinerario"/>
        <w:rPr>
          <w:lang w:val="es-ES"/>
        </w:rPr>
      </w:pPr>
      <w:r w:rsidRPr="008427FB">
        <w:rPr>
          <w:lang w:val="es-ES"/>
        </w:rPr>
        <w:t xml:space="preserve">Desayuno </w:t>
      </w:r>
      <w:r>
        <w:rPr>
          <w:lang w:val="es-ES"/>
        </w:rPr>
        <w:t>en el hotel. V</w:t>
      </w:r>
      <w:r w:rsidRPr="00ED0A12">
        <w:rPr>
          <w:lang w:val="es-ES"/>
        </w:rPr>
        <w:t>isita a La Mezquita de Solimán del siglo XVI y la más grande de la ciudad. Es la obra maestra del arquitecto Sinan conocido como figura del imperio otomano. El complejo alrededor de la mezquita consta de varios edificios como la bibl</w:t>
      </w:r>
      <w:r>
        <w:rPr>
          <w:lang w:val="es-ES"/>
        </w:rPr>
        <w:t>i</w:t>
      </w:r>
      <w:r w:rsidRPr="00ED0A12">
        <w:rPr>
          <w:lang w:val="es-ES"/>
        </w:rPr>
        <w:t>oteca,</w:t>
      </w:r>
      <w:r>
        <w:rPr>
          <w:lang w:val="es-ES"/>
        </w:rPr>
        <w:t xml:space="preserve"> </w:t>
      </w:r>
      <w:r w:rsidRPr="00ED0A12">
        <w:rPr>
          <w:lang w:val="es-ES"/>
        </w:rPr>
        <w:t xml:space="preserve">el hospital, el baño turco y el bazar. A continuación, cruzaremos a la parte </w:t>
      </w:r>
      <w:r>
        <w:rPr>
          <w:lang w:val="es-ES"/>
        </w:rPr>
        <w:t>a</w:t>
      </w:r>
      <w:r w:rsidRPr="00ED0A12">
        <w:rPr>
          <w:lang w:val="es-ES"/>
        </w:rPr>
        <w:t>siática por el primer puente colgante del Bósforo para visitar La Colina de Çamlica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Fin de la excursión y traslado al hotel</w:t>
      </w:r>
      <w:r w:rsidR="006C70A0">
        <w:rPr>
          <w:lang w:val="es-ES"/>
        </w:rPr>
        <w:t>. Alojamiento.</w:t>
      </w:r>
    </w:p>
    <w:p w14:paraId="795A381B" w14:textId="3EB22D22" w:rsidR="008E0128" w:rsidRPr="005716E4" w:rsidRDefault="00150FA0" w:rsidP="008E0128">
      <w:pPr>
        <w:pStyle w:val="dias"/>
        <w:rPr>
          <w:color w:val="1F3864"/>
          <w:sz w:val="28"/>
          <w:szCs w:val="28"/>
          <w:lang w:val="es-ES"/>
        </w:rPr>
      </w:pPr>
      <w:r w:rsidRPr="005716E4">
        <w:rPr>
          <w:caps w:val="0"/>
          <w:color w:val="1F3864"/>
          <w:sz w:val="28"/>
          <w:szCs w:val="28"/>
          <w:lang w:val="es-ES"/>
        </w:rPr>
        <w:t>DÍA 3</w:t>
      </w:r>
      <w:r w:rsidRPr="005716E4">
        <w:rPr>
          <w:caps w:val="0"/>
          <w:color w:val="1F3864"/>
          <w:sz w:val="28"/>
          <w:szCs w:val="28"/>
          <w:lang w:val="es-ES"/>
        </w:rPr>
        <w:tab/>
      </w:r>
      <w:r w:rsidRPr="005716E4">
        <w:rPr>
          <w:caps w:val="0"/>
          <w:color w:val="1F3864"/>
          <w:sz w:val="28"/>
          <w:szCs w:val="28"/>
          <w:lang w:val="es-ES"/>
        </w:rPr>
        <w:tab/>
        <w:t>ESTAMBUL CLÁSICA</w:t>
      </w:r>
    </w:p>
    <w:p w14:paraId="15274D89" w14:textId="3EE48CBA" w:rsidR="008E0128" w:rsidRDefault="008E0128" w:rsidP="008E0128">
      <w:pPr>
        <w:pStyle w:val="itinerario"/>
        <w:rPr>
          <w:lang w:val="es-ES"/>
        </w:rPr>
      </w:pPr>
      <w:r w:rsidRPr="008427FB">
        <w:rPr>
          <w:lang w:val="es-ES"/>
        </w:rPr>
        <w:t xml:space="preserve">Desayuno </w:t>
      </w:r>
      <w:r>
        <w:rPr>
          <w:lang w:val="es-ES"/>
        </w:rPr>
        <w:t>en el hotel. S</w:t>
      </w:r>
      <w:r w:rsidRPr="008427FB">
        <w:rPr>
          <w:lang w:val="es-ES"/>
        </w:rPr>
        <w:t xml:space="preserve">alida hacia </w:t>
      </w:r>
      <w:r>
        <w:rPr>
          <w:lang w:val="es-ES"/>
        </w:rPr>
        <w:t>e</w:t>
      </w:r>
      <w:r w:rsidRPr="008427FB">
        <w:rPr>
          <w:lang w:val="es-ES"/>
        </w:rPr>
        <w:t>l Café de Pierre Loti desde donde disfrutar de las mejores vistas del Cuerno de Oro con tiempo libre para</w:t>
      </w:r>
      <w:r>
        <w:rPr>
          <w:lang w:val="es-ES"/>
        </w:rPr>
        <w:t>,</w:t>
      </w:r>
      <w:r w:rsidRPr="008427FB">
        <w:rPr>
          <w:lang w:val="es-ES"/>
        </w:rPr>
        <w:t xml:space="preserve"> </w:t>
      </w:r>
      <w:r>
        <w:rPr>
          <w:lang w:val="es-ES"/>
        </w:rPr>
        <w:t>mientras contempla la ciudad, disfrute tomando</w:t>
      </w:r>
      <w:r w:rsidRPr="008427FB">
        <w:rPr>
          <w:lang w:val="es-ES"/>
        </w:rPr>
        <w:t xml:space="preserve"> un té o un café. A continuación, visitaremos el Patriarcado Ecuménico de Constantinopla</w:t>
      </w:r>
      <w:r>
        <w:rPr>
          <w:lang w:val="es-ES"/>
        </w:rPr>
        <w:t xml:space="preserve"> </w:t>
      </w:r>
      <w:r w:rsidRPr="008427FB">
        <w:rPr>
          <w:lang w:val="es-ES"/>
        </w:rPr>
        <w:t>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Pr>
          <w:lang w:val="es-ES"/>
        </w:rPr>
        <w:t>. T</w:t>
      </w:r>
      <w:r w:rsidRPr="008427FB">
        <w:rPr>
          <w:lang w:val="es-ES"/>
        </w:rPr>
        <w:t>raslado al hotel</w:t>
      </w:r>
      <w:r>
        <w:rPr>
          <w:lang w:val="es-ES"/>
        </w:rPr>
        <w:t xml:space="preserve"> y alojamiento.</w:t>
      </w:r>
    </w:p>
    <w:p w14:paraId="2E133265" w14:textId="6A93EE62" w:rsidR="005716E4" w:rsidRPr="005716E4" w:rsidRDefault="00150FA0" w:rsidP="005716E4">
      <w:pPr>
        <w:pStyle w:val="dias"/>
        <w:rPr>
          <w:color w:val="1F3864"/>
          <w:sz w:val="28"/>
          <w:szCs w:val="28"/>
          <w:lang w:val="es-ES"/>
        </w:rPr>
      </w:pPr>
      <w:r w:rsidRPr="005716E4">
        <w:rPr>
          <w:caps w:val="0"/>
          <w:color w:val="1F3864"/>
          <w:sz w:val="28"/>
          <w:szCs w:val="28"/>
          <w:lang w:val="es-ES"/>
        </w:rPr>
        <w:t>DÍA 4</w:t>
      </w:r>
      <w:r w:rsidRPr="005716E4">
        <w:rPr>
          <w:caps w:val="0"/>
          <w:color w:val="1F3864"/>
          <w:sz w:val="28"/>
          <w:szCs w:val="28"/>
          <w:lang w:val="es-ES"/>
        </w:rPr>
        <w:tab/>
      </w:r>
      <w:r>
        <w:rPr>
          <w:caps w:val="0"/>
          <w:color w:val="1F3864"/>
          <w:sz w:val="28"/>
          <w:szCs w:val="28"/>
          <w:lang w:val="es-ES"/>
        </w:rPr>
        <w:tab/>
      </w:r>
      <w:r w:rsidRPr="005716E4">
        <w:rPr>
          <w:caps w:val="0"/>
          <w:color w:val="1F3864"/>
          <w:sz w:val="28"/>
          <w:szCs w:val="28"/>
          <w:lang w:val="es-ES"/>
        </w:rPr>
        <w:t>ESTAMBUL – BURSA – IZMIR</w:t>
      </w:r>
    </w:p>
    <w:p w14:paraId="31810DE1" w14:textId="409AAEC1" w:rsidR="005716E4" w:rsidRPr="005716E4" w:rsidRDefault="006C70A0" w:rsidP="005716E4">
      <w:pPr>
        <w:pStyle w:val="itinerario"/>
        <w:rPr>
          <w:lang w:val="es-ES"/>
        </w:rPr>
      </w:pPr>
      <w:r w:rsidRPr="008427FB">
        <w:rPr>
          <w:lang w:val="es-ES"/>
        </w:rPr>
        <w:t xml:space="preserve">Desayuno </w:t>
      </w:r>
      <w:r>
        <w:rPr>
          <w:lang w:val="es-ES"/>
        </w:rPr>
        <w:t xml:space="preserve">en el hotel. </w:t>
      </w:r>
      <w:r w:rsidR="005716E4" w:rsidRPr="005716E4">
        <w:rPr>
          <w:lang w:val="es-ES"/>
        </w:rPr>
        <w:t xml:space="preserve">Salida hacia Bursa. Cruzaremos el golfo de Izmit por el puente colgante de Osman Gazi, el cuarto puente más largo del mundo. </w:t>
      </w:r>
      <w:bookmarkStart w:id="3" w:name="_Hlk161326425"/>
      <w:r w:rsidR="005716E4" w:rsidRPr="005716E4">
        <w:rPr>
          <w:lang w:val="es-ES"/>
        </w:rPr>
        <w:t xml:space="preserve">Bursa fue la primera capital del imperio otomano y en ella visitaremos la Mezquita Grande y el Bazar de la Seda. </w:t>
      </w:r>
      <w:bookmarkEnd w:id="3"/>
      <w:r w:rsidR="005716E4" w:rsidRPr="005716E4">
        <w:rPr>
          <w:lang w:val="es-ES"/>
        </w:rPr>
        <w:t>Continuación hacia Izmir, la tercera ciudad más grande del país. Realizaremos una pequeña panorámica de la ciudad. Cena y alojamiento</w:t>
      </w:r>
      <w:r>
        <w:rPr>
          <w:lang w:val="es-ES"/>
        </w:rPr>
        <w:t xml:space="preserve"> en el hotel</w:t>
      </w:r>
      <w:r w:rsidR="005716E4" w:rsidRPr="005716E4">
        <w:rPr>
          <w:lang w:val="es-ES"/>
        </w:rPr>
        <w:t>.</w:t>
      </w:r>
    </w:p>
    <w:p w14:paraId="3CA81FA1" w14:textId="6F0A1B89" w:rsidR="005716E4" w:rsidRPr="006C70A0" w:rsidRDefault="00150FA0" w:rsidP="006C70A0">
      <w:pPr>
        <w:pStyle w:val="dias"/>
        <w:rPr>
          <w:color w:val="1F3864"/>
          <w:sz w:val="28"/>
          <w:szCs w:val="28"/>
          <w:lang w:val="es-ES"/>
        </w:rPr>
      </w:pPr>
      <w:r w:rsidRPr="006C70A0">
        <w:rPr>
          <w:caps w:val="0"/>
          <w:color w:val="1F3864"/>
          <w:sz w:val="28"/>
          <w:szCs w:val="28"/>
          <w:lang w:val="es-ES"/>
        </w:rPr>
        <w:t>DÍA 5</w:t>
      </w:r>
      <w:r w:rsidRPr="006C70A0">
        <w:rPr>
          <w:caps w:val="0"/>
          <w:color w:val="1F3864"/>
          <w:sz w:val="28"/>
          <w:szCs w:val="28"/>
          <w:lang w:val="es-ES"/>
        </w:rPr>
        <w:tab/>
      </w:r>
      <w:r w:rsidRPr="006C70A0">
        <w:rPr>
          <w:caps w:val="0"/>
          <w:color w:val="1F3864"/>
          <w:sz w:val="28"/>
          <w:szCs w:val="28"/>
          <w:lang w:val="es-ES"/>
        </w:rPr>
        <w:tab/>
        <w:t xml:space="preserve">IZMIR – ÉFESO </w:t>
      </w:r>
      <w:r>
        <w:rPr>
          <w:caps w:val="0"/>
          <w:color w:val="1F3864"/>
          <w:sz w:val="28"/>
          <w:szCs w:val="28"/>
          <w:lang w:val="es-ES"/>
        </w:rPr>
        <w:t>–</w:t>
      </w:r>
      <w:r w:rsidRPr="006C70A0">
        <w:rPr>
          <w:caps w:val="0"/>
          <w:color w:val="1F3864"/>
          <w:sz w:val="28"/>
          <w:szCs w:val="28"/>
          <w:lang w:val="es-ES"/>
        </w:rPr>
        <w:t xml:space="preserve"> PAMUKKALE</w:t>
      </w:r>
      <w:r>
        <w:rPr>
          <w:caps w:val="0"/>
          <w:color w:val="1F3864"/>
          <w:sz w:val="28"/>
          <w:szCs w:val="28"/>
          <w:lang w:val="es-ES"/>
        </w:rPr>
        <w:t xml:space="preserve"> </w:t>
      </w:r>
      <w:r w:rsidRPr="006C70A0">
        <w:rPr>
          <w:caps w:val="0"/>
          <w:color w:val="1F3864"/>
          <w:sz w:val="28"/>
          <w:szCs w:val="28"/>
          <w:lang w:val="es-ES"/>
        </w:rPr>
        <w:t xml:space="preserve"> </w:t>
      </w:r>
    </w:p>
    <w:p w14:paraId="60F790E9" w14:textId="49D7609B" w:rsidR="005716E4" w:rsidRDefault="006C70A0" w:rsidP="005716E4">
      <w:pPr>
        <w:pStyle w:val="itinerario"/>
        <w:rPr>
          <w:lang w:val="es-ES"/>
        </w:rPr>
      </w:pPr>
      <w:r w:rsidRPr="008427FB">
        <w:rPr>
          <w:lang w:val="es-ES"/>
        </w:rPr>
        <w:t xml:space="preserve">Desayuno </w:t>
      </w:r>
      <w:r>
        <w:rPr>
          <w:lang w:val="es-ES"/>
        </w:rPr>
        <w:t xml:space="preserve">en el hotel. </w:t>
      </w:r>
      <w:r w:rsidR="005716E4" w:rsidRPr="005716E4">
        <w:rPr>
          <w:lang w:val="es-ES"/>
        </w:rPr>
        <w:t xml:space="preserve">Salida hacia Éfeso, capital de Asia Menor en la época romana. Visita a los vestigios arqueológicos donde destacan el templo de Adriano, la biblioteca de Celso, el gran teatro y el </w:t>
      </w:r>
      <w:r w:rsidRPr="005716E4">
        <w:rPr>
          <w:lang w:val="es-ES"/>
        </w:rPr>
        <w:t>ágora.</w:t>
      </w:r>
      <w:r w:rsidR="005716E4" w:rsidRPr="005716E4">
        <w:rPr>
          <w:lang w:val="es-ES"/>
        </w:rPr>
        <w:t xml:space="preserve"> Visita a un centro típico de artículos de piel.  Continuación hacia Pamukkale, maravilla natural de gigantescas cascadas blancas, estalactitas y piscinas naturales procedentes de fuentes termales. Visita a Hierápolis una de las ciudades </w:t>
      </w:r>
      <w:r w:rsidRPr="005716E4">
        <w:rPr>
          <w:lang w:val="es-ES"/>
        </w:rPr>
        <w:t>más</w:t>
      </w:r>
      <w:r w:rsidR="005716E4" w:rsidRPr="005716E4">
        <w:rPr>
          <w:lang w:val="es-ES"/>
        </w:rPr>
        <w:t xml:space="preserve"> importantes de la época romana. Cena y alojamiento</w:t>
      </w:r>
      <w:r>
        <w:rPr>
          <w:lang w:val="es-ES"/>
        </w:rPr>
        <w:t xml:space="preserve"> en el hotel. </w:t>
      </w:r>
    </w:p>
    <w:p w14:paraId="3D8CFDDC" w14:textId="2484F8A1" w:rsidR="006C70A0" w:rsidRPr="006C70A0" w:rsidRDefault="00150FA0" w:rsidP="006C70A0">
      <w:pPr>
        <w:pStyle w:val="dias"/>
        <w:rPr>
          <w:sz w:val="28"/>
          <w:szCs w:val="28"/>
        </w:rPr>
      </w:pPr>
      <w:r w:rsidRPr="006C70A0">
        <w:rPr>
          <w:caps w:val="0"/>
          <w:color w:val="1F3864"/>
          <w:sz w:val="28"/>
          <w:szCs w:val="28"/>
        </w:rPr>
        <w:t xml:space="preserve">DÍA 6 </w:t>
      </w:r>
      <w:r w:rsidRPr="006C70A0">
        <w:rPr>
          <w:caps w:val="0"/>
          <w:color w:val="1F3864"/>
          <w:sz w:val="28"/>
          <w:szCs w:val="28"/>
        </w:rPr>
        <w:tab/>
      </w:r>
      <w:r w:rsidRPr="006C70A0">
        <w:rPr>
          <w:caps w:val="0"/>
          <w:color w:val="1F3864"/>
          <w:sz w:val="28"/>
          <w:szCs w:val="28"/>
        </w:rPr>
        <w:tab/>
        <w:t xml:space="preserve">PAMUKKALE </w:t>
      </w:r>
      <w:r>
        <w:rPr>
          <w:caps w:val="0"/>
          <w:color w:val="1F3864"/>
          <w:sz w:val="28"/>
          <w:szCs w:val="28"/>
        </w:rPr>
        <w:t>–</w:t>
      </w:r>
      <w:r w:rsidRPr="006C70A0">
        <w:rPr>
          <w:caps w:val="0"/>
          <w:color w:val="1F3864"/>
          <w:sz w:val="28"/>
          <w:szCs w:val="28"/>
        </w:rPr>
        <w:t xml:space="preserve"> CAPADOCIA</w:t>
      </w:r>
      <w:r>
        <w:rPr>
          <w:caps w:val="0"/>
          <w:color w:val="1F3864"/>
          <w:sz w:val="28"/>
          <w:szCs w:val="28"/>
        </w:rPr>
        <w:t xml:space="preserve"> </w:t>
      </w:r>
    </w:p>
    <w:p w14:paraId="64F3C613" w14:textId="64760E1C" w:rsidR="006C70A0" w:rsidRPr="006C70A0" w:rsidRDefault="00480B47" w:rsidP="006C70A0">
      <w:pPr>
        <w:pStyle w:val="itinerario"/>
        <w:rPr>
          <w:lang w:val="es-ES"/>
        </w:rPr>
      </w:pPr>
      <w:r w:rsidRPr="008427FB">
        <w:rPr>
          <w:lang w:val="es-ES"/>
        </w:rPr>
        <w:t xml:space="preserve">Desayuno </w:t>
      </w:r>
      <w:r>
        <w:rPr>
          <w:lang w:val="es-ES"/>
        </w:rPr>
        <w:t xml:space="preserve">en el hotel. </w:t>
      </w:r>
      <w:r w:rsidR="006C70A0" w:rsidRPr="006C70A0">
        <w:rPr>
          <w:lang w:val="es-ES"/>
        </w:rPr>
        <w:t>Salida hacia Konya. En el camino visita a una posada medieval de la Ruta de la Seda. Continuación hacia Capadocia. Visita a una de las ciudades subterráneas: Özkonak, Mazı o Saratlı. Llegada al hotel. Cena y alojamiento.</w:t>
      </w:r>
    </w:p>
    <w:p w14:paraId="39EC7B31" w14:textId="77777777" w:rsidR="00150FA0" w:rsidRDefault="00150FA0" w:rsidP="00480B47">
      <w:pPr>
        <w:pStyle w:val="dias"/>
        <w:rPr>
          <w:color w:val="1F3864"/>
          <w:sz w:val="28"/>
          <w:szCs w:val="28"/>
        </w:rPr>
      </w:pPr>
    </w:p>
    <w:p w14:paraId="48390F75" w14:textId="6B809420" w:rsidR="00480B47" w:rsidRPr="00015DCC" w:rsidRDefault="00150FA0" w:rsidP="00480B47">
      <w:pPr>
        <w:pStyle w:val="dias"/>
        <w:rPr>
          <w:color w:val="1F3864"/>
          <w:sz w:val="28"/>
          <w:szCs w:val="28"/>
        </w:rPr>
      </w:pPr>
      <w:r w:rsidRPr="00015DCC">
        <w:rPr>
          <w:caps w:val="0"/>
          <w:color w:val="1F3864"/>
          <w:sz w:val="28"/>
          <w:szCs w:val="28"/>
        </w:rPr>
        <w:lastRenderedPageBreak/>
        <w:t xml:space="preserve">DÍA </w:t>
      </w:r>
      <w:r>
        <w:rPr>
          <w:caps w:val="0"/>
          <w:color w:val="1F3864"/>
          <w:sz w:val="28"/>
          <w:szCs w:val="28"/>
        </w:rPr>
        <w:t>7</w:t>
      </w:r>
      <w:r w:rsidRPr="00015DCC">
        <w:rPr>
          <w:caps w:val="0"/>
          <w:color w:val="1F3864"/>
          <w:sz w:val="28"/>
          <w:szCs w:val="28"/>
        </w:rPr>
        <w:tab/>
      </w:r>
      <w:r>
        <w:rPr>
          <w:caps w:val="0"/>
          <w:color w:val="1F3864"/>
          <w:sz w:val="28"/>
          <w:szCs w:val="28"/>
        </w:rPr>
        <w:tab/>
      </w:r>
      <w:r w:rsidRPr="00015DCC">
        <w:rPr>
          <w:caps w:val="0"/>
          <w:color w:val="1F3864"/>
          <w:sz w:val="28"/>
          <w:szCs w:val="28"/>
        </w:rPr>
        <w:t>CAPADOCIA</w:t>
      </w:r>
    </w:p>
    <w:p w14:paraId="5012C575" w14:textId="77777777" w:rsidR="00480B47" w:rsidRPr="003D54B2" w:rsidRDefault="00480B47" w:rsidP="00480B47">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7B2DFE0E" w14:textId="77777777" w:rsidR="00480B47" w:rsidRDefault="00480B47" w:rsidP="00480B47">
      <w:pPr>
        <w:pStyle w:val="itinerario"/>
        <w:rPr>
          <w:lang w:val="es-ES"/>
        </w:rPr>
      </w:pPr>
    </w:p>
    <w:p w14:paraId="2E785626" w14:textId="5B49A1D3" w:rsidR="00480B47" w:rsidRDefault="00480B47" w:rsidP="00480B47">
      <w:pPr>
        <w:pStyle w:val="itinerario"/>
      </w:pPr>
      <w:r w:rsidRPr="008427FB">
        <w:rPr>
          <w:lang w:val="es-ES"/>
        </w:rPr>
        <w:t xml:space="preserve">Desayuno </w:t>
      </w:r>
      <w:r>
        <w:rPr>
          <w:lang w:val="es-ES"/>
        </w:rPr>
        <w:t>en el hotel. S</w:t>
      </w:r>
      <w:r w:rsidRPr="00015DCC">
        <w:rPr>
          <w:lang w:val="es-ES"/>
        </w:rPr>
        <w:t>alida para la visita de esta maravillosa región, una mezcla de los caprichos de la naturaleza y el arte humano. Visita al Valle de Göreme. Paradas en los valles Güvercinlik desde donde se disfruta de un increíble paisaje lunar. Por la tarde una visita típica a los talleres de ónix y turquesa donde se puede encontrar calidad y buen precio. Cena y alojamiento</w:t>
      </w:r>
      <w:r>
        <w:rPr>
          <w:lang w:val="es-ES"/>
        </w:rPr>
        <w:t xml:space="preserve"> en el hotel. </w:t>
      </w:r>
      <w:r w:rsidRPr="003D54B2">
        <w:t xml:space="preserve">En la noche podrá participar </w:t>
      </w:r>
      <w:r w:rsidRPr="003D54B2">
        <w:rPr>
          <w:b/>
          <w:bCs/>
          <w:color w:val="1F3864"/>
        </w:rPr>
        <w:t>OPCIONALMENTE</w:t>
      </w:r>
      <w:r w:rsidRPr="003D54B2">
        <w:t xml:space="preserve"> en un espectáculo de bailes folklóricos en una típica cueva con bebidas regionales ilimitadas.</w:t>
      </w:r>
    </w:p>
    <w:p w14:paraId="1D7BAAA1" w14:textId="1A013B0F" w:rsidR="00480B47" w:rsidRPr="00480B47" w:rsidRDefault="00150FA0" w:rsidP="00480B47">
      <w:pPr>
        <w:pStyle w:val="dias"/>
        <w:rPr>
          <w:color w:val="1F3864"/>
          <w:sz w:val="28"/>
          <w:szCs w:val="28"/>
        </w:rPr>
      </w:pPr>
      <w:r w:rsidRPr="00480B47">
        <w:rPr>
          <w:caps w:val="0"/>
          <w:color w:val="1F3864"/>
          <w:sz w:val="28"/>
          <w:szCs w:val="28"/>
        </w:rPr>
        <w:t xml:space="preserve">DÍA 8 </w:t>
      </w:r>
      <w:r w:rsidRPr="00480B47">
        <w:rPr>
          <w:caps w:val="0"/>
          <w:color w:val="1F3864"/>
          <w:sz w:val="28"/>
          <w:szCs w:val="28"/>
        </w:rPr>
        <w:tab/>
      </w:r>
      <w:r w:rsidRPr="00480B47">
        <w:rPr>
          <w:caps w:val="0"/>
          <w:color w:val="1F3864"/>
          <w:sz w:val="28"/>
          <w:szCs w:val="28"/>
        </w:rPr>
        <w:tab/>
        <w:t xml:space="preserve">CAPADOCIA – ANKARA </w:t>
      </w:r>
      <w:r>
        <w:rPr>
          <w:caps w:val="0"/>
          <w:color w:val="1F3864"/>
          <w:sz w:val="28"/>
          <w:szCs w:val="28"/>
        </w:rPr>
        <w:t>–</w:t>
      </w:r>
      <w:r w:rsidRPr="00480B47">
        <w:rPr>
          <w:caps w:val="0"/>
          <w:color w:val="1F3864"/>
          <w:sz w:val="28"/>
          <w:szCs w:val="28"/>
        </w:rPr>
        <w:t xml:space="preserve"> ESTAMBUL</w:t>
      </w:r>
      <w:r>
        <w:rPr>
          <w:caps w:val="0"/>
          <w:color w:val="1F3864"/>
          <w:sz w:val="28"/>
          <w:szCs w:val="28"/>
        </w:rPr>
        <w:t xml:space="preserve"> </w:t>
      </w:r>
    </w:p>
    <w:p w14:paraId="4247BDB0" w14:textId="01A4C323" w:rsidR="005716E4" w:rsidRDefault="00480B47" w:rsidP="00480B47">
      <w:pPr>
        <w:pStyle w:val="itinerario"/>
      </w:pPr>
      <w:r w:rsidRPr="008427FB">
        <w:rPr>
          <w:lang w:val="es-ES"/>
        </w:rPr>
        <w:t xml:space="preserve">Desayuno </w:t>
      </w:r>
      <w:r>
        <w:rPr>
          <w:lang w:val="es-ES"/>
        </w:rPr>
        <w:t xml:space="preserve">en el hotel </w:t>
      </w:r>
      <w:r>
        <w:t>y salida hacia Ankara, pasando por el lago Salado, segundo lago más grande del país.  Llegada a Ankara, capital de la república y visita al Mausoleo de Ataturk y el Museo de República. Continuación hacia Estambul pasando por el puerto de montaña de Bolu. Llegada a Estambul, traslado al hotel y alojamiento.</w:t>
      </w:r>
    </w:p>
    <w:p w14:paraId="0618782F" w14:textId="2EDA7514" w:rsidR="008427FB" w:rsidRPr="008427FB" w:rsidRDefault="00150FA0" w:rsidP="008427FB">
      <w:pPr>
        <w:pStyle w:val="dias"/>
        <w:rPr>
          <w:color w:val="1F3864"/>
          <w:sz w:val="28"/>
          <w:szCs w:val="28"/>
          <w:lang w:val="es-ES"/>
        </w:rPr>
      </w:pPr>
      <w:r w:rsidRPr="008427FB">
        <w:rPr>
          <w:caps w:val="0"/>
          <w:color w:val="1F3864"/>
          <w:sz w:val="28"/>
          <w:szCs w:val="28"/>
          <w:lang w:val="es-ES"/>
        </w:rPr>
        <w:t xml:space="preserve">DÍA </w:t>
      </w:r>
      <w:r>
        <w:rPr>
          <w:caps w:val="0"/>
          <w:color w:val="1F3864"/>
          <w:sz w:val="28"/>
          <w:szCs w:val="28"/>
          <w:lang w:val="es-ES"/>
        </w:rPr>
        <w:t>9</w:t>
      </w:r>
      <w:r w:rsidRPr="008427FB">
        <w:rPr>
          <w:caps w:val="0"/>
          <w:color w:val="1F3864"/>
          <w:sz w:val="28"/>
          <w:szCs w:val="28"/>
          <w:lang w:val="es-ES"/>
        </w:rPr>
        <w:tab/>
      </w:r>
      <w:r>
        <w:rPr>
          <w:caps w:val="0"/>
          <w:color w:val="1F3864"/>
          <w:sz w:val="28"/>
          <w:szCs w:val="28"/>
          <w:lang w:val="es-ES"/>
        </w:rPr>
        <w:tab/>
      </w:r>
      <w:r w:rsidRPr="008427FB">
        <w:rPr>
          <w:caps w:val="0"/>
          <w:color w:val="1F3864"/>
          <w:sz w:val="28"/>
          <w:szCs w:val="28"/>
          <w:lang w:val="es-ES"/>
        </w:rPr>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C0FCD2A" w:rsidR="004A7222" w:rsidRDefault="004A7222" w:rsidP="004A7222">
      <w:pPr>
        <w:pStyle w:val="itinerario"/>
      </w:pPr>
    </w:p>
    <w:p w14:paraId="053EC06B" w14:textId="53687B99" w:rsidR="00ED0A12" w:rsidRDefault="00ED0A12" w:rsidP="004A7222">
      <w:pPr>
        <w:pStyle w:val="itinerario"/>
      </w:pPr>
    </w:p>
    <w:p w14:paraId="1DC42080" w14:textId="2BA67919" w:rsidR="00282F55" w:rsidRDefault="00282F55" w:rsidP="00282F5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81F80B5" w14:textId="5D71F56F" w:rsidR="00282F55" w:rsidRDefault="00282F55" w:rsidP="00282F55">
      <w:pPr>
        <w:pStyle w:val="itinerario"/>
        <w:rPr>
          <w:bCs/>
        </w:rPr>
      </w:pPr>
      <w:r>
        <w:rPr>
          <w:bCs/>
        </w:rPr>
        <w:t xml:space="preserve">Vigencia: </w:t>
      </w:r>
      <w:r w:rsidR="002151C1">
        <w:rPr>
          <w:bCs/>
        </w:rPr>
        <w:t>marzo 1</w:t>
      </w:r>
      <w:r w:rsidR="00764B86">
        <w:rPr>
          <w:bCs/>
        </w:rPr>
        <w:t xml:space="preserve">5 </w:t>
      </w:r>
      <w:r w:rsidR="00CA7E61">
        <w:rPr>
          <w:bCs/>
        </w:rPr>
        <w:t xml:space="preserve">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2734EDF3" w14:textId="77777777" w:rsidTr="00CA7E61">
        <w:tc>
          <w:tcPr>
            <w:tcW w:w="1555" w:type="dxa"/>
            <w:shd w:val="clear" w:color="auto" w:fill="1F3864"/>
            <w:vAlign w:val="center"/>
          </w:tcPr>
          <w:p w14:paraId="3D52C209"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4E5654">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4E5654">
            <w:pPr>
              <w:jc w:val="center"/>
              <w:rPr>
                <w:b/>
                <w:color w:val="FFFFFF" w:themeColor="background1"/>
                <w:sz w:val="28"/>
                <w:szCs w:val="28"/>
              </w:rPr>
            </w:pPr>
            <w:r w:rsidRPr="006E2E7D">
              <w:rPr>
                <w:b/>
                <w:color w:val="FFFFFF" w:themeColor="background1"/>
                <w:sz w:val="28"/>
                <w:szCs w:val="28"/>
              </w:rPr>
              <w:t>Sencilla</w:t>
            </w:r>
          </w:p>
        </w:tc>
      </w:tr>
      <w:tr w:rsidR="00064636" w14:paraId="7B7CEB08" w14:textId="77777777" w:rsidTr="001A0479">
        <w:tc>
          <w:tcPr>
            <w:tcW w:w="1555" w:type="dxa"/>
            <w:tcBorders>
              <w:bottom w:val="single" w:sz="4" w:space="0" w:color="auto"/>
            </w:tcBorders>
            <w:shd w:val="pct20" w:color="auto" w:fill="auto"/>
            <w:vAlign w:val="center"/>
          </w:tcPr>
          <w:p w14:paraId="084B27CC" w14:textId="0A9669B6" w:rsidR="00064636" w:rsidRPr="00A64547" w:rsidRDefault="00064636" w:rsidP="00064636">
            <w:pPr>
              <w:jc w:val="center"/>
            </w:pPr>
            <w:r>
              <w:t>Opción 1</w:t>
            </w:r>
          </w:p>
        </w:tc>
        <w:tc>
          <w:tcPr>
            <w:tcW w:w="2128" w:type="dxa"/>
            <w:tcBorders>
              <w:bottom w:val="single" w:sz="4" w:space="0" w:color="auto"/>
            </w:tcBorders>
            <w:shd w:val="pct20" w:color="auto" w:fill="auto"/>
            <w:vAlign w:val="center"/>
          </w:tcPr>
          <w:p w14:paraId="46426126" w14:textId="3F2FAA95" w:rsidR="00064636" w:rsidRPr="00F07479" w:rsidRDefault="00064636" w:rsidP="00064636">
            <w:pPr>
              <w:jc w:val="center"/>
            </w:pPr>
            <w:r>
              <w:rPr>
                <w:rFonts w:cs="Calibri"/>
                <w:szCs w:val="22"/>
              </w:rPr>
              <w:t>1.019</w:t>
            </w:r>
          </w:p>
        </w:tc>
        <w:tc>
          <w:tcPr>
            <w:tcW w:w="2129" w:type="dxa"/>
            <w:tcBorders>
              <w:bottom w:val="single" w:sz="4" w:space="0" w:color="auto"/>
            </w:tcBorders>
            <w:shd w:val="pct20" w:color="auto" w:fill="auto"/>
          </w:tcPr>
          <w:p w14:paraId="7B95D6CD" w14:textId="50B2E47E" w:rsidR="00064636" w:rsidRPr="00F07479" w:rsidRDefault="00064636" w:rsidP="00064636">
            <w:pPr>
              <w:jc w:val="center"/>
            </w:pPr>
            <w:r w:rsidRPr="00CA1FD7">
              <w:t>994</w:t>
            </w:r>
          </w:p>
        </w:tc>
        <w:tc>
          <w:tcPr>
            <w:tcW w:w="2129" w:type="dxa"/>
            <w:tcBorders>
              <w:bottom w:val="single" w:sz="4" w:space="0" w:color="auto"/>
            </w:tcBorders>
            <w:shd w:val="pct20" w:color="auto" w:fill="auto"/>
          </w:tcPr>
          <w:p w14:paraId="248E0D75" w14:textId="366A0961" w:rsidR="00064636" w:rsidRPr="00D16E69" w:rsidRDefault="00064636" w:rsidP="00064636">
            <w:pPr>
              <w:jc w:val="center"/>
            </w:pPr>
            <w:r w:rsidRPr="00D905E5">
              <w:t>545</w:t>
            </w:r>
          </w:p>
        </w:tc>
        <w:tc>
          <w:tcPr>
            <w:tcW w:w="2129" w:type="dxa"/>
            <w:tcBorders>
              <w:bottom w:val="single" w:sz="4" w:space="0" w:color="auto"/>
            </w:tcBorders>
            <w:shd w:val="pct20" w:color="auto" w:fill="auto"/>
          </w:tcPr>
          <w:p w14:paraId="3E5E7B2C" w14:textId="3DEB5551" w:rsidR="00064636" w:rsidRPr="00F07479" w:rsidRDefault="00064636" w:rsidP="00064636">
            <w:pPr>
              <w:jc w:val="center"/>
            </w:pPr>
            <w:r w:rsidRPr="00257090">
              <w:t>1.325</w:t>
            </w:r>
          </w:p>
        </w:tc>
      </w:tr>
      <w:tr w:rsidR="00064636" w14:paraId="474A2E9B" w14:textId="77777777" w:rsidTr="00A637CF">
        <w:tc>
          <w:tcPr>
            <w:tcW w:w="1555" w:type="dxa"/>
            <w:tcBorders>
              <w:bottom w:val="single" w:sz="4" w:space="0" w:color="auto"/>
            </w:tcBorders>
            <w:shd w:val="clear" w:color="auto" w:fill="auto"/>
            <w:vAlign w:val="center"/>
          </w:tcPr>
          <w:p w14:paraId="43E13B53" w14:textId="193F8A46" w:rsidR="00064636" w:rsidRDefault="00064636" w:rsidP="00064636">
            <w:pPr>
              <w:jc w:val="center"/>
            </w:pPr>
            <w:r>
              <w:t>Opción 2</w:t>
            </w:r>
          </w:p>
        </w:tc>
        <w:tc>
          <w:tcPr>
            <w:tcW w:w="2128" w:type="dxa"/>
            <w:tcBorders>
              <w:bottom w:val="single" w:sz="4" w:space="0" w:color="auto"/>
            </w:tcBorders>
            <w:shd w:val="clear" w:color="auto" w:fill="auto"/>
            <w:vAlign w:val="center"/>
          </w:tcPr>
          <w:p w14:paraId="32ADAF67" w14:textId="6F22E9AA" w:rsidR="00064636" w:rsidRPr="006F5F28" w:rsidRDefault="00064636" w:rsidP="00064636">
            <w:pPr>
              <w:jc w:val="center"/>
            </w:pPr>
            <w:r>
              <w:rPr>
                <w:rFonts w:cs="Calibri"/>
                <w:szCs w:val="22"/>
              </w:rPr>
              <w:t>1.019</w:t>
            </w:r>
          </w:p>
        </w:tc>
        <w:tc>
          <w:tcPr>
            <w:tcW w:w="2129" w:type="dxa"/>
            <w:tcBorders>
              <w:bottom w:val="single" w:sz="4" w:space="0" w:color="auto"/>
            </w:tcBorders>
            <w:shd w:val="clear" w:color="auto" w:fill="auto"/>
          </w:tcPr>
          <w:p w14:paraId="4C2ECA80" w14:textId="0DEB90FB" w:rsidR="00064636" w:rsidRPr="006F5F28" w:rsidRDefault="00064636" w:rsidP="00064636">
            <w:pPr>
              <w:jc w:val="center"/>
            </w:pPr>
            <w:r w:rsidRPr="00CA1FD7">
              <w:t>994</w:t>
            </w:r>
          </w:p>
        </w:tc>
        <w:tc>
          <w:tcPr>
            <w:tcW w:w="2129" w:type="dxa"/>
            <w:tcBorders>
              <w:bottom w:val="single" w:sz="4" w:space="0" w:color="auto"/>
            </w:tcBorders>
          </w:tcPr>
          <w:p w14:paraId="38788E33" w14:textId="3A0776C9" w:rsidR="00064636" w:rsidRPr="00D16E69" w:rsidRDefault="00064636" w:rsidP="00064636">
            <w:pPr>
              <w:jc w:val="center"/>
            </w:pPr>
            <w:r w:rsidRPr="00D905E5">
              <w:t>545</w:t>
            </w:r>
          </w:p>
        </w:tc>
        <w:tc>
          <w:tcPr>
            <w:tcW w:w="2129" w:type="dxa"/>
            <w:tcBorders>
              <w:bottom w:val="single" w:sz="4" w:space="0" w:color="auto"/>
            </w:tcBorders>
            <w:shd w:val="clear" w:color="auto" w:fill="auto"/>
          </w:tcPr>
          <w:p w14:paraId="3A1B604D" w14:textId="74E17B1E" w:rsidR="00064636" w:rsidRPr="006F5F28" w:rsidRDefault="00064636" w:rsidP="00064636">
            <w:pPr>
              <w:jc w:val="center"/>
            </w:pPr>
            <w:r w:rsidRPr="00257090">
              <w:t>1.325</w:t>
            </w:r>
          </w:p>
        </w:tc>
      </w:tr>
      <w:tr w:rsidR="00064636" w14:paraId="447A0FFF" w14:textId="77777777" w:rsidTr="00A637CF">
        <w:tc>
          <w:tcPr>
            <w:tcW w:w="1555" w:type="dxa"/>
            <w:tcBorders>
              <w:bottom w:val="single" w:sz="4" w:space="0" w:color="auto"/>
            </w:tcBorders>
            <w:shd w:val="pct20" w:color="auto" w:fill="auto"/>
            <w:vAlign w:val="center"/>
          </w:tcPr>
          <w:p w14:paraId="5B31E981" w14:textId="180B02BA" w:rsidR="00064636" w:rsidRDefault="00064636" w:rsidP="00064636">
            <w:pPr>
              <w:jc w:val="center"/>
            </w:pPr>
            <w:r>
              <w:t>Opción 3</w:t>
            </w:r>
          </w:p>
        </w:tc>
        <w:tc>
          <w:tcPr>
            <w:tcW w:w="2128" w:type="dxa"/>
            <w:tcBorders>
              <w:bottom w:val="single" w:sz="4" w:space="0" w:color="auto"/>
            </w:tcBorders>
            <w:shd w:val="pct20" w:color="auto" w:fill="auto"/>
            <w:vAlign w:val="center"/>
          </w:tcPr>
          <w:p w14:paraId="24D7E623" w14:textId="0C51FF6F" w:rsidR="00064636" w:rsidRPr="00F07479" w:rsidRDefault="00064636" w:rsidP="00064636">
            <w:pPr>
              <w:jc w:val="center"/>
            </w:pPr>
            <w:r>
              <w:rPr>
                <w:rFonts w:cs="Calibri"/>
                <w:szCs w:val="22"/>
              </w:rPr>
              <w:t>1.357</w:t>
            </w:r>
          </w:p>
        </w:tc>
        <w:tc>
          <w:tcPr>
            <w:tcW w:w="2129" w:type="dxa"/>
            <w:tcBorders>
              <w:bottom w:val="single" w:sz="4" w:space="0" w:color="auto"/>
            </w:tcBorders>
            <w:shd w:val="pct20" w:color="auto" w:fill="auto"/>
          </w:tcPr>
          <w:p w14:paraId="09A49240" w14:textId="4543CB96" w:rsidR="00064636" w:rsidRPr="00F07479" w:rsidRDefault="00064636" w:rsidP="00064636">
            <w:pPr>
              <w:jc w:val="center"/>
            </w:pPr>
            <w:r w:rsidRPr="00CA1FD7">
              <w:t>1.305</w:t>
            </w:r>
          </w:p>
        </w:tc>
        <w:tc>
          <w:tcPr>
            <w:tcW w:w="2129" w:type="dxa"/>
            <w:tcBorders>
              <w:bottom w:val="single" w:sz="4" w:space="0" w:color="auto"/>
            </w:tcBorders>
            <w:shd w:val="pct20" w:color="auto" w:fill="auto"/>
          </w:tcPr>
          <w:p w14:paraId="4676238B" w14:textId="188660CE" w:rsidR="00064636" w:rsidRPr="001F4119" w:rsidRDefault="00064636" w:rsidP="00064636">
            <w:pPr>
              <w:jc w:val="center"/>
            </w:pPr>
            <w:r w:rsidRPr="00D905E5">
              <w:t>714</w:t>
            </w:r>
          </w:p>
        </w:tc>
        <w:tc>
          <w:tcPr>
            <w:tcW w:w="2129" w:type="dxa"/>
            <w:tcBorders>
              <w:bottom w:val="single" w:sz="4" w:space="0" w:color="auto"/>
            </w:tcBorders>
            <w:shd w:val="pct20" w:color="auto" w:fill="auto"/>
          </w:tcPr>
          <w:p w14:paraId="098B6A4F" w14:textId="09E5C2A0" w:rsidR="00064636" w:rsidRPr="00F07479" w:rsidRDefault="00064636" w:rsidP="00064636">
            <w:pPr>
              <w:jc w:val="center"/>
            </w:pPr>
            <w:r w:rsidRPr="00257090">
              <w:t>1.987</w:t>
            </w:r>
          </w:p>
        </w:tc>
      </w:tr>
    </w:tbl>
    <w:p w14:paraId="69232D60" w14:textId="77777777" w:rsidR="00764B86" w:rsidRDefault="00764B86"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062905E4" w14:textId="0DCA3D69"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2CFCF7B8" w14:textId="7F4ECCD2" w:rsidR="00D121F8" w:rsidRDefault="00D121F8" w:rsidP="00D121F8">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66AB2C57" w14:textId="77777777" w:rsidR="005C4FF5" w:rsidRDefault="005C4FF5"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39F58C33"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064636">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5C4FF5" w:rsidRPr="00D121F8" w14:paraId="220F0D2A" w14:textId="77777777" w:rsidTr="0037259B">
        <w:tc>
          <w:tcPr>
            <w:tcW w:w="3356" w:type="dxa"/>
            <w:vMerge w:val="restart"/>
            <w:vAlign w:val="center"/>
          </w:tcPr>
          <w:p w14:paraId="65F48830" w14:textId="29E7A36B" w:rsidR="005C4FF5" w:rsidRPr="00D121F8" w:rsidRDefault="005C4FF5" w:rsidP="005C4FF5">
            <w:pPr>
              <w:jc w:val="center"/>
              <w:rPr>
                <w:lang w:val="en-US"/>
              </w:rPr>
            </w:pPr>
            <w:r>
              <w:t>Zona de Izmir</w:t>
            </w:r>
          </w:p>
        </w:tc>
        <w:tc>
          <w:tcPr>
            <w:tcW w:w="3357" w:type="dxa"/>
          </w:tcPr>
          <w:p w14:paraId="71198A34" w14:textId="3675094D" w:rsidR="005C4FF5" w:rsidRPr="006A20F9" w:rsidRDefault="005C4FF5" w:rsidP="005C4FF5">
            <w:pPr>
              <w:jc w:val="center"/>
            </w:pPr>
            <w:r w:rsidRPr="002B0B31">
              <w:t xml:space="preserve">Blanca </w:t>
            </w:r>
          </w:p>
        </w:tc>
        <w:tc>
          <w:tcPr>
            <w:tcW w:w="3357" w:type="dxa"/>
          </w:tcPr>
          <w:p w14:paraId="7BD7D4E3" w14:textId="42F2A91D" w:rsidR="005C4FF5" w:rsidRDefault="005C4FF5" w:rsidP="005C4FF5">
            <w:pPr>
              <w:jc w:val="center"/>
              <w:rPr>
                <w:rFonts w:cs="Calibri"/>
                <w:szCs w:val="22"/>
                <w:lang w:val="es-ES"/>
              </w:rPr>
            </w:pPr>
            <w:r>
              <w:rPr>
                <w:rFonts w:cs="Calibri"/>
                <w:szCs w:val="22"/>
                <w:lang w:val="es-ES"/>
              </w:rPr>
              <w:t>Turista Superior</w:t>
            </w:r>
          </w:p>
        </w:tc>
      </w:tr>
      <w:tr w:rsidR="005C4FF5" w:rsidRPr="00D121F8" w14:paraId="7EF5F9A4" w14:textId="77777777" w:rsidTr="0037259B">
        <w:tc>
          <w:tcPr>
            <w:tcW w:w="3356" w:type="dxa"/>
            <w:vMerge/>
            <w:vAlign w:val="center"/>
          </w:tcPr>
          <w:p w14:paraId="3678D21C" w14:textId="77777777" w:rsidR="005C4FF5" w:rsidRPr="00D121F8" w:rsidRDefault="005C4FF5" w:rsidP="005C4FF5">
            <w:pPr>
              <w:jc w:val="center"/>
              <w:rPr>
                <w:lang w:val="en-US"/>
              </w:rPr>
            </w:pPr>
          </w:p>
        </w:tc>
        <w:tc>
          <w:tcPr>
            <w:tcW w:w="3357" w:type="dxa"/>
          </w:tcPr>
          <w:p w14:paraId="54214B72" w14:textId="724E84B7" w:rsidR="005C4FF5" w:rsidRPr="006A20F9" w:rsidRDefault="005C4FF5" w:rsidP="005C4FF5">
            <w:pPr>
              <w:jc w:val="center"/>
            </w:pPr>
            <w:r w:rsidRPr="002B0B31">
              <w:t xml:space="preserve">Kaya Prestij </w:t>
            </w:r>
          </w:p>
        </w:tc>
        <w:tc>
          <w:tcPr>
            <w:tcW w:w="3357" w:type="dxa"/>
          </w:tcPr>
          <w:p w14:paraId="1C583500" w14:textId="49464FC0" w:rsidR="005C4FF5" w:rsidRDefault="005C4FF5" w:rsidP="005C4FF5">
            <w:pPr>
              <w:jc w:val="center"/>
              <w:rPr>
                <w:rFonts w:cs="Calibri"/>
                <w:szCs w:val="22"/>
                <w:lang w:val="es-ES"/>
              </w:rPr>
            </w:pPr>
            <w:r>
              <w:rPr>
                <w:rFonts w:cs="Calibri"/>
                <w:szCs w:val="22"/>
                <w:lang w:val="es-ES"/>
              </w:rPr>
              <w:t>Turista</w:t>
            </w:r>
          </w:p>
        </w:tc>
      </w:tr>
      <w:tr w:rsidR="005C4FF5" w:rsidRPr="00D121F8" w14:paraId="305E72A7" w14:textId="77777777" w:rsidTr="0037259B">
        <w:tc>
          <w:tcPr>
            <w:tcW w:w="3356" w:type="dxa"/>
            <w:vMerge w:val="restart"/>
            <w:vAlign w:val="center"/>
          </w:tcPr>
          <w:p w14:paraId="3D771512" w14:textId="296E488D" w:rsidR="005C4FF5" w:rsidRPr="00D121F8" w:rsidRDefault="005C4FF5" w:rsidP="005C4FF5">
            <w:pPr>
              <w:jc w:val="center"/>
              <w:rPr>
                <w:lang w:val="en-US"/>
              </w:rPr>
            </w:pPr>
            <w:r>
              <w:t>Pamukkale</w:t>
            </w:r>
          </w:p>
        </w:tc>
        <w:tc>
          <w:tcPr>
            <w:tcW w:w="3357" w:type="dxa"/>
          </w:tcPr>
          <w:p w14:paraId="1C701D32" w14:textId="06E20DDC" w:rsidR="005C4FF5" w:rsidRPr="006A20F9" w:rsidRDefault="005C4FF5" w:rsidP="005C4FF5">
            <w:pPr>
              <w:jc w:val="center"/>
            </w:pPr>
            <w:r w:rsidRPr="00245F9D">
              <w:t xml:space="preserve">Anemon </w:t>
            </w:r>
          </w:p>
        </w:tc>
        <w:tc>
          <w:tcPr>
            <w:tcW w:w="3357" w:type="dxa"/>
          </w:tcPr>
          <w:p w14:paraId="141CCFD9" w14:textId="293A7316" w:rsidR="005C4FF5" w:rsidRDefault="005C4FF5" w:rsidP="005C4FF5">
            <w:pPr>
              <w:jc w:val="center"/>
              <w:rPr>
                <w:rFonts w:cs="Calibri"/>
                <w:szCs w:val="22"/>
                <w:lang w:val="es-ES"/>
              </w:rPr>
            </w:pPr>
            <w:r w:rsidRPr="00341272">
              <w:rPr>
                <w:rFonts w:cs="Calibri"/>
                <w:szCs w:val="22"/>
                <w:lang w:val="es-ES"/>
              </w:rPr>
              <w:t>Primera</w:t>
            </w:r>
          </w:p>
        </w:tc>
      </w:tr>
      <w:tr w:rsidR="005C4FF5" w:rsidRPr="00D121F8" w14:paraId="49734395" w14:textId="77777777" w:rsidTr="0037259B">
        <w:tc>
          <w:tcPr>
            <w:tcW w:w="3356" w:type="dxa"/>
            <w:vMerge/>
            <w:vAlign w:val="center"/>
          </w:tcPr>
          <w:p w14:paraId="3167AED3" w14:textId="77777777" w:rsidR="005C4FF5" w:rsidRPr="00D121F8" w:rsidRDefault="005C4FF5" w:rsidP="005C4FF5">
            <w:pPr>
              <w:jc w:val="center"/>
              <w:rPr>
                <w:lang w:val="en-US"/>
              </w:rPr>
            </w:pPr>
          </w:p>
        </w:tc>
        <w:tc>
          <w:tcPr>
            <w:tcW w:w="3357" w:type="dxa"/>
          </w:tcPr>
          <w:p w14:paraId="71AAB010" w14:textId="425DD561" w:rsidR="005C4FF5" w:rsidRPr="006A20F9" w:rsidRDefault="005C4FF5" w:rsidP="005C4FF5">
            <w:pPr>
              <w:jc w:val="center"/>
            </w:pPr>
            <w:r w:rsidRPr="00245F9D">
              <w:t xml:space="preserve">Adempira </w:t>
            </w:r>
          </w:p>
        </w:tc>
        <w:tc>
          <w:tcPr>
            <w:tcW w:w="3357" w:type="dxa"/>
          </w:tcPr>
          <w:p w14:paraId="3C3146BB" w14:textId="24CFC188" w:rsidR="005C4FF5" w:rsidRDefault="005C4FF5" w:rsidP="005C4FF5">
            <w:pPr>
              <w:jc w:val="center"/>
              <w:rPr>
                <w:rFonts w:cs="Calibri"/>
                <w:szCs w:val="22"/>
                <w:lang w:val="es-ES"/>
              </w:rPr>
            </w:pPr>
            <w:r w:rsidRPr="00341272">
              <w:rPr>
                <w:rFonts w:cs="Calibri"/>
                <w:szCs w:val="22"/>
                <w:lang w:val="es-ES"/>
              </w:rPr>
              <w:t>Primera</w:t>
            </w:r>
          </w:p>
        </w:tc>
      </w:tr>
      <w:tr w:rsidR="005C4FF5" w:rsidRPr="00D121F8" w14:paraId="28C95E1C" w14:textId="77777777" w:rsidTr="0037259B">
        <w:tc>
          <w:tcPr>
            <w:tcW w:w="3356" w:type="dxa"/>
            <w:vMerge/>
            <w:vAlign w:val="center"/>
          </w:tcPr>
          <w:p w14:paraId="3A4A3193" w14:textId="77777777" w:rsidR="005C4FF5" w:rsidRPr="00D121F8" w:rsidRDefault="005C4FF5" w:rsidP="005C4FF5">
            <w:pPr>
              <w:jc w:val="center"/>
              <w:rPr>
                <w:lang w:val="en-US"/>
              </w:rPr>
            </w:pPr>
          </w:p>
        </w:tc>
        <w:tc>
          <w:tcPr>
            <w:tcW w:w="3357" w:type="dxa"/>
          </w:tcPr>
          <w:p w14:paraId="4B5CA028" w14:textId="51404955" w:rsidR="005C4FF5" w:rsidRPr="006A20F9" w:rsidRDefault="005C4FF5" w:rsidP="005C4FF5">
            <w:pPr>
              <w:jc w:val="center"/>
            </w:pPr>
            <w:r w:rsidRPr="00245F9D">
              <w:t xml:space="preserve">Hierápolis </w:t>
            </w:r>
          </w:p>
        </w:tc>
        <w:tc>
          <w:tcPr>
            <w:tcW w:w="3357" w:type="dxa"/>
          </w:tcPr>
          <w:p w14:paraId="3B78EA82" w14:textId="2A4A344C" w:rsidR="005C4FF5" w:rsidRDefault="005C4FF5" w:rsidP="005C4FF5">
            <w:pPr>
              <w:jc w:val="center"/>
              <w:rPr>
                <w:rFonts w:cs="Calibri"/>
                <w:szCs w:val="22"/>
                <w:lang w:val="es-ES"/>
              </w:rPr>
            </w:pPr>
            <w:r>
              <w:rPr>
                <w:rFonts w:cs="Calibri"/>
                <w:szCs w:val="22"/>
                <w:lang w:val="es-ES"/>
              </w:rPr>
              <w:t>Turista Superior</w:t>
            </w:r>
          </w:p>
        </w:tc>
      </w:tr>
      <w:tr w:rsidR="005C4FF5" w:rsidRPr="00D121F8" w14:paraId="606B4F43" w14:textId="77777777" w:rsidTr="0037259B">
        <w:tc>
          <w:tcPr>
            <w:tcW w:w="3356" w:type="dxa"/>
            <w:vMerge w:val="restart"/>
            <w:vAlign w:val="center"/>
          </w:tcPr>
          <w:p w14:paraId="502C2CB1" w14:textId="7BC50918" w:rsidR="005C4FF5" w:rsidRPr="00D121F8" w:rsidRDefault="005C4FF5" w:rsidP="005C4FF5">
            <w:pPr>
              <w:jc w:val="center"/>
              <w:rPr>
                <w:lang w:val="en-US"/>
              </w:rPr>
            </w:pPr>
            <w:r>
              <w:t>Capadocia</w:t>
            </w:r>
          </w:p>
        </w:tc>
        <w:tc>
          <w:tcPr>
            <w:tcW w:w="3357" w:type="dxa"/>
          </w:tcPr>
          <w:p w14:paraId="49BB57F2" w14:textId="50FAD47B" w:rsidR="005C4FF5" w:rsidRPr="006A20F9" w:rsidRDefault="005C4FF5" w:rsidP="005C4FF5">
            <w:pPr>
              <w:jc w:val="center"/>
            </w:pPr>
            <w:r w:rsidRPr="00555B4D">
              <w:t xml:space="preserve">Monark </w:t>
            </w:r>
          </w:p>
        </w:tc>
        <w:tc>
          <w:tcPr>
            <w:tcW w:w="3357" w:type="dxa"/>
          </w:tcPr>
          <w:p w14:paraId="3329A9FE" w14:textId="41B648C7" w:rsidR="005C4FF5" w:rsidRDefault="005C4FF5" w:rsidP="005C4FF5">
            <w:pPr>
              <w:jc w:val="center"/>
              <w:rPr>
                <w:rFonts w:cs="Calibri"/>
                <w:szCs w:val="22"/>
                <w:lang w:val="es-ES"/>
              </w:rPr>
            </w:pPr>
            <w:r w:rsidRPr="00CD4D95">
              <w:rPr>
                <w:rFonts w:cs="Calibri"/>
                <w:szCs w:val="22"/>
                <w:lang w:val="es-ES"/>
              </w:rPr>
              <w:t>Turista Superior</w:t>
            </w:r>
          </w:p>
        </w:tc>
      </w:tr>
      <w:tr w:rsidR="005C4FF5" w:rsidRPr="00D121F8" w14:paraId="3C263F1D" w14:textId="77777777" w:rsidTr="0037259B">
        <w:tc>
          <w:tcPr>
            <w:tcW w:w="3356" w:type="dxa"/>
            <w:vMerge/>
            <w:vAlign w:val="center"/>
          </w:tcPr>
          <w:p w14:paraId="0FCC9CF4" w14:textId="77777777" w:rsidR="005C4FF5" w:rsidRPr="00D121F8" w:rsidRDefault="005C4FF5" w:rsidP="005C4FF5">
            <w:pPr>
              <w:jc w:val="center"/>
              <w:rPr>
                <w:lang w:val="en-US"/>
              </w:rPr>
            </w:pPr>
          </w:p>
        </w:tc>
        <w:tc>
          <w:tcPr>
            <w:tcW w:w="3357" w:type="dxa"/>
          </w:tcPr>
          <w:p w14:paraId="37ADE76D" w14:textId="0912C8D2" w:rsidR="005C4FF5" w:rsidRPr="006A20F9" w:rsidRDefault="005C4FF5" w:rsidP="005C4FF5">
            <w:pPr>
              <w:jc w:val="center"/>
            </w:pPr>
            <w:r w:rsidRPr="00555B4D">
              <w:t xml:space="preserve">Altinoz </w:t>
            </w:r>
          </w:p>
        </w:tc>
        <w:tc>
          <w:tcPr>
            <w:tcW w:w="3357" w:type="dxa"/>
          </w:tcPr>
          <w:p w14:paraId="25940F93" w14:textId="30AEE18E" w:rsidR="005C4FF5" w:rsidRDefault="005C4FF5" w:rsidP="005C4FF5">
            <w:pPr>
              <w:jc w:val="center"/>
              <w:rPr>
                <w:rFonts w:cs="Calibri"/>
                <w:szCs w:val="22"/>
                <w:lang w:val="es-ES"/>
              </w:rPr>
            </w:pPr>
            <w:r w:rsidRPr="00CD4D95">
              <w:rPr>
                <w:rFonts w:cs="Calibri"/>
                <w:szCs w:val="22"/>
                <w:lang w:val="es-ES"/>
              </w:rPr>
              <w:t>Turista Superior</w:t>
            </w:r>
          </w:p>
        </w:tc>
      </w:tr>
      <w:tr w:rsidR="005C4FF5" w:rsidRPr="00D121F8" w14:paraId="01685CA9" w14:textId="77777777" w:rsidTr="00B64F48">
        <w:tc>
          <w:tcPr>
            <w:tcW w:w="3356" w:type="dxa"/>
            <w:vMerge/>
            <w:tcBorders>
              <w:bottom w:val="single" w:sz="4" w:space="0" w:color="auto"/>
            </w:tcBorders>
            <w:vAlign w:val="center"/>
          </w:tcPr>
          <w:p w14:paraId="5116C968" w14:textId="77777777" w:rsidR="005C4FF5" w:rsidRPr="00D121F8" w:rsidRDefault="005C4FF5" w:rsidP="005C4FF5">
            <w:pPr>
              <w:jc w:val="center"/>
              <w:rPr>
                <w:lang w:val="en-US"/>
              </w:rPr>
            </w:pPr>
          </w:p>
        </w:tc>
        <w:tc>
          <w:tcPr>
            <w:tcW w:w="3357" w:type="dxa"/>
            <w:tcBorders>
              <w:bottom w:val="single" w:sz="4" w:space="0" w:color="auto"/>
            </w:tcBorders>
          </w:tcPr>
          <w:p w14:paraId="72398687" w14:textId="786E23BC" w:rsidR="005C4FF5" w:rsidRPr="006A20F9" w:rsidRDefault="005C4FF5" w:rsidP="005C4FF5">
            <w:pPr>
              <w:jc w:val="center"/>
            </w:pPr>
            <w:r w:rsidRPr="006A20F9">
              <w:t xml:space="preserve">Mustafa Resort </w:t>
            </w:r>
          </w:p>
        </w:tc>
        <w:tc>
          <w:tcPr>
            <w:tcW w:w="3357" w:type="dxa"/>
            <w:tcBorders>
              <w:bottom w:val="single" w:sz="4" w:space="0" w:color="auto"/>
            </w:tcBorders>
          </w:tcPr>
          <w:p w14:paraId="23EACA87" w14:textId="345DD99C" w:rsidR="005C4FF5" w:rsidRDefault="005C4FF5" w:rsidP="005C4FF5">
            <w:pPr>
              <w:jc w:val="center"/>
              <w:rPr>
                <w:rFonts w:cs="Calibri"/>
                <w:szCs w:val="22"/>
                <w:lang w:val="es-ES"/>
              </w:rPr>
            </w:pPr>
            <w:r w:rsidRPr="00C6475D">
              <w:rPr>
                <w:rFonts w:cs="Calibri"/>
                <w:szCs w:val="22"/>
                <w:lang w:val="es-ES"/>
              </w:rPr>
              <w:t>Primera</w:t>
            </w:r>
          </w:p>
        </w:tc>
      </w:tr>
    </w:tbl>
    <w:p w14:paraId="4A47D98C" w14:textId="77777777" w:rsidR="00C4725E" w:rsidRDefault="00C4725E"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3709409E"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064636">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947887" w:rsidRPr="00D121F8" w14:paraId="4499D2EF" w14:textId="77777777" w:rsidTr="00F72A43">
        <w:tc>
          <w:tcPr>
            <w:tcW w:w="3356" w:type="dxa"/>
            <w:vMerge w:val="restart"/>
            <w:tcBorders>
              <w:top w:val="single" w:sz="4" w:space="0" w:color="auto"/>
              <w:left w:val="single" w:sz="4" w:space="0" w:color="auto"/>
              <w:right w:val="single" w:sz="4" w:space="0" w:color="auto"/>
            </w:tcBorders>
            <w:vAlign w:val="center"/>
          </w:tcPr>
          <w:p w14:paraId="07015AC9" w14:textId="114DE853" w:rsidR="00947887" w:rsidRDefault="0094788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5A0484F2" w14:textId="40C031DF" w:rsidR="00947887" w:rsidRPr="00561E82" w:rsidRDefault="00947887" w:rsidP="00947887">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7A6D0D08" w14:textId="284615D3" w:rsidR="00947887" w:rsidRDefault="00947887" w:rsidP="00947887">
            <w:pPr>
              <w:jc w:val="center"/>
              <w:rPr>
                <w:rFonts w:cs="Calibri"/>
                <w:szCs w:val="22"/>
                <w:lang w:val="en-US"/>
              </w:rPr>
            </w:pPr>
            <w:r>
              <w:rPr>
                <w:rFonts w:cs="Calibri"/>
                <w:szCs w:val="22"/>
                <w:lang w:val="en-US"/>
              </w:rPr>
              <w:t>Primera</w:t>
            </w:r>
          </w:p>
        </w:tc>
      </w:tr>
      <w:tr w:rsidR="00947887" w:rsidRPr="00D121F8" w14:paraId="79BFE5AB" w14:textId="77777777" w:rsidTr="00F72A43">
        <w:tc>
          <w:tcPr>
            <w:tcW w:w="3356" w:type="dxa"/>
            <w:vMerge/>
            <w:tcBorders>
              <w:left w:val="single" w:sz="4" w:space="0" w:color="auto"/>
              <w:right w:val="single" w:sz="4" w:space="0" w:color="auto"/>
            </w:tcBorders>
            <w:vAlign w:val="center"/>
          </w:tcPr>
          <w:p w14:paraId="0321C0A4" w14:textId="073181D1" w:rsidR="00947887" w:rsidRDefault="00947887" w:rsidP="00753889">
            <w:pPr>
              <w:jc w:val="center"/>
            </w:pP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947887" w:rsidRPr="00D121F8" w:rsidRDefault="0094788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947887" w:rsidRPr="00D121F8" w:rsidRDefault="00947887" w:rsidP="00753889">
            <w:pPr>
              <w:jc w:val="center"/>
              <w:rPr>
                <w:rFonts w:cs="Calibri"/>
                <w:szCs w:val="22"/>
                <w:lang w:val="en-US"/>
              </w:rPr>
            </w:pPr>
            <w:r>
              <w:rPr>
                <w:rFonts w:cs="Calibri"/>
                <w:szCs w:val="22"/>
                <w:lang w:val="en-US"/>
              </w:rPr>
              <w:t>Primera</w:t>
            </w:r>
          </w:p>
        </w:tc>
      </w:tr>
      <w:tr w:rsidR="00947887" w:rsidRPr="00D422A0" w14:paraId="7BF6C037" w14:textId="77777777" w:rsidTr="0037259B">
        <w:tc>
          <w:tcPr>
            <w:tcW w:w="3356" w:type="dxa"/>
            <w:vMerge/>
            <w:tcBorders>
              <w:left w:val="single" w:sz="4" w:space="0" w:color="auto"/>
              <w:right w:val="single" w:sz="4" w:space="0" w:color="auto"/>
            </w:tcBorders>
            <w:vAlign w:val="center"/>
          </w:tcPr>
          <w:p w14:paraId="2FA1362F" w14:textId="77777777" w:rsidR="00947887" w:rsidRPr="00D121F8" w:rsidRDefault="0094788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947887" w:rsidRPr="00D121F8" w:rsidRDefault="0094788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947887" w:rsidRPr="00D422A0" w:rsidRDefault="00947887" w:rsidP="00753889">
            <w:pPr>
              <w:jc w:val="center"/>
              <w:rPr>
                <w:rFonts w:cs="Calibri"/>
                <w:szCs w:val="22"/>
                <w:lang w:val="en-US"/>
              </w:rPr>
            </w:pPr>
            <w:r>
              <w:rPr>
                <w:rFonts w:cs="Calibri"/>
                <w:szCs w:val="22"/>
                <w:lang w:val="en-US"/>
              </w:rPr>
              <w:t>Primera Superior</w:t>
            </w:r>
          </w:p>
        </w:tc>
      </w:tr>
      <w:tr w:rsidR="005C4FF5" w:rsidRPr="00D422A0" w14:paraId="615BEE79" w14:textId="77777777" w:rsidTr="002A6FDF">
        <w:tc>
          <w:tcPr>
            <w:tcW w:w="3356" w:type="dxa"/>
            <w:vMerge w:val="restart"/>
            <w:tcBorders>
              <w:left w:val="single" w:sz="4" w:space="0" w:color="auto"/>
              <w:right w:val="single" w:sz="4" w:space="0" w:color="auto"/>
            </w:tcBorders>
            <w:vAlign w:val="center"/>
          </w:tcPr>
          <w:p w14:paraId="3E9CBDC6" w14:textId="1E3FEA3A" w:rsidR="005C4FF5" w:rsidRPr="00D121F8" w:rsidRDefault="005C4FF5" w:rsidP="005C4FF5">
            <w:pPr>
              <w:jc w:val="center"/>
              <w:rPr>
                <w:lang w:val="en-US"/>
              </w:rPr>
            </w:pPr>
            <w:r>
              <w:t>Zona de Izmir</w:t>
            </w:r>
          </w:p>
        </w:tc>
        <w:tc>
          <w:tcPr>
            <w:tcW w:w="3357" w:type="dxa"/>
            <w:tcBorders>
              <w:top w:val="single" w:sz="4" w:space="0" w:color="auto"/>
              <w:left w:val="single" w:sz="4" w:space="0" w:color="auto"/>
              <w:bottom w:val="single" w:sz="4" w:space="0" w:color="auto"/>
              <w:right w:val="single" w:sz="4" w:space="0" w:color="auto"/>
            </w:tcBorders>
          </w:tcPr>
          <w:p w14:paraId="1E2918E4" w14:textId="15096E57" w:rsidR="005C4FF5" w:rsidRPr="0050474A" w:rsidRDefault="005C4FF5" w:rsidP="005C4FF5">
            <w:pPr>
              <w:jc w:val="center"/>
              <w:rPr>
                <w:rFonts w:cs="Calibri"/>
                <w:szCs w:val="22"/>
                <w:lang w:val="es-ES"/>
              </w:rPr>
            </w:pPr>
            <w:r w:rsidRPr="002B0B31">
              <w:t xml:space="preserve">Blanca </w:t>
            </w:r>
          </w:p>
        </w:tc>
        <w:tc>
          <w:tcPr>
            <w:tcW w:w="3357" w:type="dxa"/>
            <w:tcBorders>
              <w:top w:val="single" w:sz="4" w:space="0" w:color="auto"/>
              <w:left w:val="single" w:sz="4" w:space="0" w:color="auto"/>
              <w:bottom w:val="single" w:sz="4" w:space="0" w:color="auto"/>
              <w:right w:val="single" w:sz="4" w:space="0" w:color="auto"/>
            </w:tcBorders>
          </w:tcPr>
          <w:p w14:paraId="29ACB301" w14:textId="25DACD15" w:rsidR="005C4FF5" w:rsidRDefault="005C4FF5" w:rsidP="005C4FF5">
            <w:pPr>
              <w:jc w:val="center"/>
              <w:rPr>
                <w:rFonts w:cs="Calibri"/>
                <w:szCs w:val="22"/>
                <w:lang w:val="en-US"/>
              </w:rPr>
            </w:pPr>
            <w:r>
              <w:rPr>
                <w:rFonts w:cs="Calibri"/>
                <w:szCs w:val="22"/>
                <w:lang w:val="es-ES"/>
              </w:rPr>
              <w:t>Turista Superior</w:t>
            </w:r>
          </w:p>
        </w:tc>
      </w:tr>
      <w:tr w:rsidR="005C4FF5" w:rsidRPr="00D422A0" w14:paraId="78867C87" w14:textId="77777777" w:rsidTr="002A6FDF">
        <w:tc>
          <w:tcPr>
            <w:tcW w:w="3356" w:type="dxa"/>
            <w:vMerge/>
            <w:tcBorders>
              <w:left w:val="single" w:sz="4" w:space="0" w:color="auto"/>
              <w:right w:val="single" w:sz="4" w:space="0" w:color="auto"/>
            </w:tcBorders>
            <w:vAlign w:val="center"/>
          </w:tcPr>
          <w:p w14:paraId="1ED8923E" w14:textId="77777777" w:rsidR="005C4FF5" w:rsidRPr="00D121F8" w:rsidRDefault="005C4FF5" w:rsidP="005C4FF5">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756F18C8" w14:textId="55FA716C" w:rsidR="005C4FF5" w:rsidRPr="0050474A" w:rsidRDefault="005C4FF5" w:rsidP="005C4FF5">
            <w:pPr>
              <w:jc w:val="center"/>
              <w:rPr>
                <w:rFonts w:cs="Calibri"/>
                <w:szCs w:val="22"/>
                <w:lang w:val="es-ES"/>
              </w:rPr>
            </w:pPr>
            <w:r w:rsidRPr="002B0B31">
              <w:t xml:space="preserve">Kaya Prestij </w:t>
            </w:r>
          </w:p>
        </w:tc>
        <w:tc>
          <w:tcPr>
            <w:tcW w:w="3357" w:type="dxa"/>
            <w:tcBorders>
              <w:top w:val="single" w:sz="4" w:space="0" w:color="auto"/>
              <w:left w:val="single" w:sz="4" w:space="0" w:color="auto"/>
              <w:bottom w:val="single" w:sz="4" w:space="0" w:color="auto"/>
              <w:right w:val="single" w:sz="4" w:space="0" w:color="auto"/>
            </w:tcBorders>
          </w:tcPr>
          <w:p w14:paraId="42169CB4" w14:textId="03DE316D" w:rsidR="005C4FF5" w:rsidRDefault="005C4FF5" w:rsidP="005C4FF5">
            <w:pPr>
              <w:jc w:val="center"/>
              <w:rPr>
                <w:rFonts w:cs="Calibri"/>
                <w:szCs w:val="22"/>
                <w:lang w:val="en-US"/>
              </w:rPr>
            </w:pPr>
            <w:r>
              <w:rPr>
                <w:rFonts w:cs="Calibri"/>
                <w:szCs w:val="22"/>
                <w:lang w:val="es-ES"/>
              </w:rPr>
              <w:t>Turista</w:t>
            </w:r>
          </w:p>
        </w:tc>
      </w:tr>
      <w:tr w:rsidR="005C4FF5" w:rsidRPr="00D422A0" w14:paraId="6F8E3BE5" w14:textId="77777777" w:rsidTr="002A6FDF">
        <w:tc>
          <w:tcPr>
            <w:tcW w:w="3356" w:type="dxa"/>
            <w:vMerge w:val="restart"/>
            <w:tcBorders>
              <w:left w:val="single" w:sz="4" w:space="0" w:color="auto"/>
              <w:right w:val="single" w:sz="4" w:space="0" w:color="auto"/>
            </w:tcBorders>
            <w:vAlign w:val="center"/>
          </w:tcPr>
          <w:p w14:paraId="3D85142B" w14:textId="7E1AD95E" w:rsidR="005C4FF5" w:rsidRPr="00D121F8" w:rsidRDefault="005C4FF5" w:rsidP="005C4FF5">
            <w:pPr>
              <w:jc w:val="center"/>
              <w:rPr>
                <w:lang w:val="en-US"/>
              </w:rPr>
            </w:pPr>
            <w:r>
              <w:t>Pamukkale</w:t>
            </w:r>
          </w:p>
        </w:tc>
        <w:tc>
          <w:tcPr>
            <w:tcW w:w="3357" w:type="dxa"/>
            <w:tcBorders>
              <w:top w:val="single" w:sz="4" w:space="0" w:color="auto"/>
              <w:left w:val="single" w:sz="4" w:space="0" w:color="auto"/>
              <w:bottom w:val="single" w:sz="4" w:space="0" w:color="auto"/>
              <w:right w:val="single" w:sz="4" w:space="0" w:color="auto"/>
            </w:tcBorders>
          </w:tcPr>
          <w:p w14:paraId="35639142" w14:textId="6711E2E2" w:rsidR="005C4FF5" w:rsidRPr="0050474A" w:rsidRDefault="005C4FF5" w:rsidP="005C4FF5">
            <w:pPr>
              <w:jc w:val="center"/>
              <w:rPr>
                <w:rFonts w:cs="Calibri"/>
                <w:szCs w:val="22"/>
                <w:lang w:val="es-ES"/>
              </w:rPr>
            </w:pPr>
            <w:r w:rsidRPr="00245F9D">
              <w:t xml:space="preserve">Anemon </w:t>
            </w:r>
          </w:p>
        </w:tc>
        <w:tc>
          <w:tcPr>
            <w:tcW w:w="3357" w:type="dxa"/>
            <w:tcBorders>
              <w:top w:val="single" w:sz="4" w:space="0" w:color="auto"/>
              <w:left w:val="single" w:sz="4" w:space="0" w:color="auto"/>
              <w:bottom w:val="single" w:sz="4" w:space="0" w:color="auto"/>
              <w:right w:val="single" w:sz="4" w:space="0" w:color="auto"/>
            </w:tcBorders>
          </w:tcPr>
          <w:p w14:paraId="47C8706F" w14:textId="3439DC22" w:rsidR="005C4FF5" w:rsidRDefault="005C4FF5" w:rsidP="005C4FF5">
            <w:pPr>
              <w:jc w:val="center"/>
              <w:rPr>
                <w:rFonts w:cs="Calibri"/>
                <w:szCs w:val="22"/>
                <w:lang w:val="en-US"/>
              </w:rPr>
            </w:pPr>
            <w:r w:rsidRPr="00341272">
              <w:rPr>
                <w:rFonts w:cs="Calibri"/>
                <w:szCs w:val="22"/>
                <w:lang w:val="es-ES"/>
              </w:rPr>
              <w:t>Primera</w:t>
            </w:r>
          </w:p>
        </w:tc>
      </w:tr>
      <w:tr w:rsidR="005C4FF5" w:rsidRPr="00D422A0" w14:paraId="2B12D190" w14:textId="77777777" w:rsidTr="002A6FDF">
        <w:tc>
          <w:tcPr>
            <w:tcW w:w="3356" w:type="dxa"/>
            <w:vMerge/>
            <w:tcBorders>
              <w:left w:val="single" w:sz="4" w:space="0" w:color="auto"/>
              <w:right w:val="single" w:sz="4" w:space="0" w:color="auto"/>
            </w:tcBorders>
            <w:vAlign w:val="center"/>
          </w:tcPr>
          <w:p w14:paraId="22E31052" w14:textId="77777777" w:rsidR="005C4FF5" w:rsidRPr="00D121F8" w:rsidRDefault="005C4FF5" w:rsidP="005C4FF5">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7BF5EC95" w14:textId="2ABECAA3" w:rsidR="005C4FF5" w:rsidRPr="0050474A" w:rsidRDefault="005C4FF5" w:rsidP="005C4FF5">
            <w:pPr>
              <w:jc w:val="center"/>
              <w:rPr>
                <w:rFonts w:cs="Calibri"/>
                <w:szCs w:val="22"/>
                <w:lang w:val="es-ES"/>
              </w:rPr>
            </w:pPr>
            <w:r w:rsidRPr="00245F9D">
              <w:t xml:space="preserve">Adempira </w:t>
            </w:r>
          </w:p>
        </w:tc>
        <w:tc>
          <w:tcPr>
            <w:tcW w:w="3357" w:type="dxa"/>
            <w:tcBorders>
              <w:top w:val="single" w:sz="4" w:space="0" w:color="auto"/>
              <w:left w:val="single" w:sz="4" w:space="0" w:color="auto"/>
              <w:bottom w:val="single" w:sz="4" w:space="0" w:color="auto"/>
              <w:right w:val="single" w:sz="4" w:space="0" w:color="auto"/>
            </w:tcBorders>
          </w:tcPr>
          <w:p w14:paraId="24820552" w14:textId="74709139" w:rsidR="005C4FF5" w:rsidRDefault="005C4FF5" w:rsidP="005C4FF5">
            <w:pPr>
              <w:jc w:val="center"/>
              <w:rPr>
                <w:rFonts w:cs="Calibri"/>
                <w:szCs w:val="22"/>
                <w:lang w:val="en-US"/>
              </w:rPr>
            </w:pPr>
            <w:r w:rsidRPr="00341272">
              <w:rPr>
                <w:rFonts w:cs="Calibri"/>
                <w:szCs w:val="22"/>
                <w:lang w:val="es-ES"/>
              </w:rPr>
              <w:t>Primera</w:t>
            </w:r>
          </w:p>
        </w:tc>
      </w:tr>
      <w:tr w:rsidR="005C4FF5" w:rsidRPr="00D422A0" w14:paraId="49D11473" w14:textId="77777777" w:rsidTr="002A6FDF">
        <w:tc>
          <w:tcPr>
            <w:tcW w:w="3356" w:type="dxa"/>
            <w:vMerge/>
            <w:tcBorders>
              <w:left w:val="single" w:sz="4" w:space="0" w:color="auto"/>
              <w:right w:val="single" w:sz="4" w:space="0" w:color="auto"/>
            </w:tcBorders>
            <w:vAlign w:val="center"/>
          </w:tcPr>
          <w:p w14:paraId="0BFE52B0" w14:textId="77777777" w:rsidR="005C4FF5" w:rsidRPr="00D121F8" w:rsidRDefault="005C4FF5" w:rsidP="005C4FF5">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36B6E774" w14:textId="1D8038E3" w:rsidR="005C4FF5" w:rsidRPr="0050474A" w:rsidRDefault="005C4FF5" w:rsidP="005C4FF5">
            <w:pPr>
              <w:jc w:val="center"/>
              <w:rPr>
                <w:rFonts w:cs="Calibri"/>
                <w:szCs w:val="22"/>
                <w:lang w:val="es-ES"/>
              </w:rPr>
            </w:pPr>
            <w:r w:rsidRPr="00245F9D">
              <w:t xml:space="preserve">Hierápolis </w:t>
            </w:r>
          </w:p>
        </w:tc>
        <w:tc>
          <w:tcPr>
            <w:tcW w:w="3357" w:type="dxa"/>
            <w:tcBorders>
              <w:top w:val="single" w:sz="4" w:space="0" w:color="auto"/>
              <w:left w:val="single" w:sz="4" w:space="0" w:color="auto"/>
              <w:bottom w:val="single" w:sz="4" w:space="0" w:color="auto"/>
              <w:right w:val="single" w:sz="4" w:space="0" w:color="auto"/>
            </w:tcBorders>
          </w:tcPr>
          <w:p w14:paraId="21DA2BDA" w14:textId="5B1315A2" w:rsidR="005C4FF5" w:rsidRDefault="005C4FF5" w:rsidP="005C4FF5">
            <w:pPr>
              <w:jc w:val="center"/>
              <w:rPr>
                <w:rFonts w:cs="Calibri"/>
                <w:szCs w:val="22"/>
                <w:lang w:val="en-US"/>
              </w:rPr>
            </w:pPr>
            <w:r>
              <w:rPr>
                <w:rFonts w:cs="Calibri"/>
                <w:szCs w:val="22"/>
                <w:lang w:val="es-ES"/>
              </w:rPr>
              <w:t>Turista Superior</w:t>
            </w:r>
          </w:p>
        </w:tc>
      </w:tr>
      <w:tr w:rsidR="005C4FF5" w:rsidRPr="00D422A0" w14:paraId="3F9A70B8" w14:textId="77777777" w:rsidTr="002A6FDF">
        <w:tc>
          <w:tcPr>
            <w:tcW w:w="3356" w:type="dxa"/>
            <w:vMerge w:val="restart"/>
            <w:tcBorders>
              <w:left w:val="single" w:sz="4" w:space="0" w:color="auto"/>
              <w:right w:val="single" w:sz="4" w:space="0" w:color="auto"/>
            </w:tcBorders>
            <w:vAlign w:val="center"/>
          </w:tcPr>
          <w:p w14:paraId="1E21755E" w14:textId="0631D866" w:rsidR="005C4FF5" w:rsidRPr="00D121F8" w:rsidRDefault="005C4FF5" w:rsidP="005C4FF5">
            <w:pPr>
              <w:jc w:val="center"/>
              <w:rPr>
                <w:lang w:val="en-US"/>
              </w:rPr>
            </w:pPr>
            <w:r>
              <w:t>Capadocia</w:t>
            </w:r>
          </w:p>
        </w:tc>
        <w:tc>
          <w:tcPr>
            <w:tcW w:w="3357" w:type="dxa"/>
            <w:tcBorders>
              <w:top w:val="single" w:sz="4" w:space="0" w:color="auto"/>
              <w:left w:val="single" w:sz="4" w:space="0" w:color="auto"/>
              <w:bottom w:val="single" w:sz="4" w:space="0" w:color="auto"/>
              <w:right w:val="single" w:sz="4" w:space="0" w:color="auto"/>
            </w:tcBorders>
          </w:tcPr>
          <w:p w14:paraId="04A04A7A" w14:textId="41476DCA" w:rsidR="005C4FF5" w:rsidRPr="0050474A" w:rsidRDefault="005C4FF5" w:rsidP="005C4FF5">
            <w:pPr>
              <w:jc w:val="center"/>
              <w:rPr>
                <w:rFonts w:cs="Calibri"/>
                <w:szCs w:val="22"/>
                <w:lang w:val="es-ES"/>
              </w:rPr>
            </w:pPr>
            <w:r w:rsidRPr="00555B4D">
              <w:t xml:space="preserve">Monark </w:t>
            </w:r>
          </w:p>
        </w:tc>
        <w:tc>
          <w:tcPr>
            <w:tcW w:w="3357" w:type="dxa"/>
            <w:tcBorders>
              <w:top w:val="single" w:sz="4" w:space="0" w:color="auto"/>
              <w:left w:val="single" w:sz="4" w:space="0" w:color="auto"/>
              <w:bottom w:val="single" w:sz="4" w:space="0" w:color="auto"/>
              <w:right w:val="single" w:sz="4" w:space="0" w:color="auto"/>
            </w:tcBorders>
          </w:tcPr>
          <w:p w14:paraId="1455EE0F" w14:textId="6C4BA2B7" w:rsidR="005C4FF5" w:rsidRDefault="005C4FF5" w:rsidP="005C4FF5">
            <w:pPr>
              <w:jc w:val="center"/>
              <w:rPr>
                <w:rFonts w:cs="Calibri"/>
                <w:szCs w:val="22"/>
                <w:lang w:val="en-US"/>
              </w:rPr>
            </w:pPr>
            <w:r w:rsidRPr="00CD4D95">
              <w:rPr>
                <w:rFonts w:cs="Calibri"/>
                <w:szCs w:val="22"/>
                <w:lang w:val="es-ES"/>
              </w:rPr>
              <w:t>Turista Superior</w:t>
            </w:r>
          </w:p>
        </w:tc>
      </w:tr>
      <w:tr w:rsidR="005C4FF5" w:rsidRPr="00D422A0" w14:paraId="66BCD753" w14:textId="77777777" w:rsidTr="002A6FDF">
        <w:tc>
          <w:tcPr>
            <w:tcW w:w="3356" w:type="dxa"/>
            <w:vMerge/>
            <w:tcBorders>
              <w:left w:val="single" w:sz="4" w:space="0" w:color="auto"/>
              <w:right w:val="single" w:sz="4" w:space="0" w:color="auto"/>
            </w:tcBorders>
            <w:vAlign w:val="center"/>
          </w:tcPr>
          <w:p w14:paraId="6C06930A" w14:textId="77777777" w:rsidR="005C4FF5" w:rsidRPr="00D121F8" w:rsidRDefault="005C4FF5" w:rsidP="005C4FF5">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5343E257" w14:textId="2CAE397F" w:rsidR="005C4FF5" w:rsidRPr="0050474A" w:rsidRDefault="005C4FF5" w:rsidP="005C4FF5">
            <w:pPr>
              <w:jc w:val="center"/>
              <w:rPr>
                <w:rFonts w:cs="Calibri"/>
                <w:szCs w:val="22"/>
                <w:lang w:val="es-ES"/>
              </w:rPr>
            </w:pPr>
            <w:r w:rsidRPr="00555B4D">
              <w:t xml:space="preserve">Altinoz </w:t>
            </w:r>
          </w:p>
        </w:tc>
        <w:tc>
          <w:tcPr>
            <w:tcW w:w="3357" w:type="dxa"/>
            <w:tcBorders>
              <w:top w:val="single" w:sz="4" w:space="0" w:color="auto"/>
              <w:left w:val="single" w:sz="4" w:space="0" w:color="auto"/>
              <w:bottom w:val="single" w:sz="4" w:space="0" w:color="auto"/>
              <w:right w:val="single" w:sz="4" w:space="0" w:color="auto"/>
            </w:tcBorders>
          </w:tcPr>
          <w:p w14:paraId="6E4EF93F" w14:textId="32E09015" w:rsidR="005C4FF5" w:rsidRDefault="005C4FF5" w:rsidP="005C4FF5">
            <w:pPr>
              <w:jc w:val="center"/>
              <w:rPr>
                <w:rFonts w:cs="Calibri"/>
                <w:szCs w:val="22"/>
                <w:lang w:val="en-US"/>
              </w:rPr>
            </w:pPr>
            <w:r w:rsidRPr="00CD4D95">
              <w:rPr>
                <w:rFonts w:cs="Calibri"/>
                <w:szCs w:val="22"/>
                <w:lang w:val="es-ES"/>
              </w:rPr>
              <w:t>Turista Superior</w:t>
            </w:r>
          </w:p>
        </w:tc>
      </w:tr>
      <w:tr w:rsidR="005C4FF5" w:rsidRPr="00D422A0" w14:paraId="719B4081" w14:textId="77777777" w:rsidTr="002A6FDF">
        <w:tc>
          <w:tcPr>
            <w:tcW w:w="3356" w:type="dxa"/>
            <w:vMerge/>
            <w:tcBorders>
              <w:left w:val="single" w:sz="4" w:space="0" w:color="auto"/>
              <w:bottom w:val="single" w:sz="4" w:space="0" w:color="auto"/>
              <w:right w:val="single" w:sz="4" w:space="0" w:color="auto"/>
            </w:tcBorders>
            <w:vAlign w:val="center"/>
          </w:tcPr>
          <w:p w14:paraId="04863C2B" w14:textId="77777777" w:rsidR="005C4FF5" w:rsidRPr="00D121F8" w:rsidRDefault="005C4FF5" w:rsidP="005C4FF5">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2CBEFAB0" w14:textId="4324ABE7" w:rsidR="005C4FF5" w:rsidRPr="0050474A" w:rsidRDefault="005C4FF5" w:rsidP="005C4FF5">
            <w:pPr>
              <w:jc w:val="center"/>
              <w:rPr>
                <w:rFonts w:cs="Calibri"/>
                <w:szCs w:val="22"/>
                <w:lang w:val="es-ES"/>
              </w:rPr>
            </w:pPr>
            <w:r w:rsidRPr="006A20F9">
              <w:t xml:space="preserve">Mustafa Resort </w:t>
            </w:r>
          </w:p>
        </w:tc>
        <w:tc>
          <w:tcPr>
            <w:tcW w:w="3357" w:type="dxa"/>
            <w:tcBorders>
              <w:top w:val="single" w:sz="4" w:space="0" w:color="auto"/>
              <w:left w:val="single" w:sz="4" w:space="0" w:color="auto"/>
              <w:bottom w:val="single" w:sz="4" w:space="0" w:color="auto"/>
              <w:right w:val="single" w:sz="4" w:space="0" w:color="auto"/>
            </w:tcBorders>
          </w:tcPr>
          <w:p w14:paraId="35A40D33" w14:textId="70E3A0CB" w:rsidR="005C4FF5" w:rsidRDefault="005C4FF5" w:rsidP="005C4FF5">
            <w:pPr>
              <w:jc w:val="center"/>
              <w:rPr>
                <w:rFonts w:cs="Calibri"/>
                <w:szCs w:val="22"/>
                <w:lang w:val="en-US"/>
              </w:rPr>
            </w:pPr>
            <w:r w:rsidRPr="00C6475D">
              <w:rPr>
                <w:rFonts w:cs="Calibri"/>
                <w:szCs w:val="22"/>
                <w:lang w:val="es-ES"/>
              </w:rPr>
              <w:t>Primera</w:t>
            </w:r>
          </w:p>
        </w:tc>
      </w:tr>
    </w:tbl>
    <w:p w14:paraId="16063449" w14:textId="2729896D" w:rsidR="00AA13FB" w:rsidRDefault="00AA13FB" w:rsidP="00D121F8">
      <w:pPr>
        <w:pStyle w:val="itinerario"/>
      </w:pPr>
    </w:p>
    <w:p w14:paraId="7F89E3B9" w14:textId="67F23B32" w:rsidR="005C4FF5" w:rsidRDefault="005C4FF5" w:rsidP="00D121F8">
      <w:pPr>
        <w:pStyle w:val="itinerario"/>
      </w:pPr>
    </w:p>
    <w:p w14:paraId="52D5EB44" w14:textId="73AF8470" w:rsidR="005C4FF5" w:rsidRDefault="005C4FF5" w:rsidP="00D121F8">
      <w:pPr>
        <w:pStyle w:val="itinerario"/>
      </w:pPr>
    </w:p>
    <w:p w14:paraId="2F78BCBE" w14:textId="7C9E5A88" w:rsidR="005C4FF5" w:rsidRDefault="005C4FF5" w:rsidP="00D121F8">
      <w:pPr>
        <w:pStyle w:val="itinerario"/>
      </w:pPr>
    </w:p>
    <w:p w14:paraId="62041242" w14:textId="77777777" w:rsidR="00064636" w:rsidRDefault="00064636" w:rsidP="00D121F8">
      <w:pPr>
        <w:pStyle w:val="itinerario"/>
      </w:pPr>
    </w:p>
    <w:p w14:paraId="44A73BFB" w14:textId="5EB4D589" w:rsidR="005C4FF5" w:rsidRDefault="005C4FF5" w:rsidP="00D121F8">
      <w:pPr>
        <w:pStyle w:val="itinerario"/>
      </w:pPr>
    </w:p>
    <w:p w14:paraId="5A70E24D" w14:textId="37A695A4" w:rsidR="005C4FF5" w:rsidRDefault="005C4FF5" w:rsidP="00D121F8">
      <w:pPr>
        <w:pStyle w:val="itinerario"/>
      </w:pPr>
    </w:p>
    <w:p w14:paraId="0CC77D1D" w14:textId="5C176E6A" w:rsidR="005C4FF5" w:rsidRDefault="005C4FF5" w:rsidP="00D121F8">
      <w:pPr>
        <w:pStyle w:val="itinerario"/>
      </w:pPr>
    </w:p>
    <w:p w14:paraId="09F3D125" w14:textId="69AB3CD9" w:rsidR="005C4FF5" w:rsidRDefault="005C4FF5" w:rsidP="00D121F8">
      <w:pPr>
        <w:pStyle w:val="itinerario"/>
      </w:pPr>
    </w:p>
    <w:p w14:paraId="694A4AD0" w14:textId="77777777" w:rsidR="005C4FF5" w:rsidRDefault="005C4FF5"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C4725E">
        <w:tc>
          <w:tcPr>
            <w:tcW w:w="10070" w:type="dxa"/>
            <w:gridSpan w:val="3"/>
            <w:shd w:val="clear" w:color="auto" w:fill="1F3864"/>
            <w:vAlign w:val="center"/>
          </w:tcPr>
          <w:p w14:paraId="575D6289" w14:textId="244D84BE" w:rsidR="00E7748A" w:rsidRDefault="00E7748A" w:rsidP="00753889">
            <w:pPr>
              <w:jc w:val="center"/>
              <w:rPr>
                <w:b/>
                <w:bCs/>
                <w:color w:val="FFFFFF" w:themeColor="background1"/>
                <w:sz w:val="28"/>
                <w:szCs w:val="28"/>
              </w:rPr>
            </w:pPr>
            <w:r>
              <w:rPr>
                <w:b/>
                <w:bCs/>
                <w:color w:val="FFFFFF" w:themeColor="background1"/>
                <w:sz w:val="28"/>
                <w:szCs w:val="28"/>
              </w:rPr>
              <w:lastRenderedPageBreak/>
              <w:t>Opción</w:t>
            </w:r>
            <w:r w:rsidR="00064636">
              <w:rPr>
                <w:b/>
                <w:bCs/>
                <w:color w:val="FFFFFF" w:themeColor="background1"/>
                <w:sz w:val="28"/>
                <w:szCs w:val="28"/>
              </w:rPr>
              <w:t xml:space="preserve"> 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C4725E">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C4725E">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C4725E">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C4725E">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C4725E">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r w:rsidR="005C4FF5" w:rsidRPr="00D121F8" w14:paraId="378DD44B" w14:textId="77777777" w:rsidTr="003D3D3A">
        <w:tc>
          <w:tcPr>
            <w:tcW w:w="3356" w:type="dxa"/>
            <w:vMerge w:val="restart"/>
            <w:vAlign w:val="center"/>
          </w:tcPr>
          <w:p w14:paraId="22018ADC" w14:textId="222DC3E3" w:rsidR="005C4FF5" w:rsidRPr="00D121F8" w:rsidRDefault="005C4FF5" w:rsidP="005C4FF5">
            <w:pPr>
              <w:jc w:val="center"/>
              <w:rPr>
                <w:lang w:val="en-US"/>
              </w:rPr>
            </w:pPr>
            <w:r>
              <w:t>Zona de Izmir</w:t>
            </w:r>
          </w:p>
        </w:tc>
        <w:tc>
          <w:tcPr>
            <w:tcW w:w="3357" w:type="dxa"/>
          </w:tcPr>
          <w:p w14:paraId="3038D6C4" w14:textId="50C0A98A" w:rsidR="005C4FF5" w:rsidRPr="00E81E89" w:rsidRDefault="005C4FF5" w:rsidP="005C4FF5">
            <w:pPr>
              <w:jc w:val="center"/>
            </w:pPr>
            <w:r w:rsidRPr="002B0B31">
              <w:t xml:space="preserve">Blanca </w:t>
            </w:r>
          </w:p>
        </w:tc>
        <w:tc>
          <w:tcPr>
            <w:tcW w:w="3357" w:type="dxa"/>
          </w:tcPr>
          <w:p w14:paraId="0F93E390" w14:textId="0A34F751" w:rsidR="005C4FF5" w:rsidRDefault="005C4FF5" w:rsidP="005C4FF5">
            <w:pPr>
              <w:jc w:val="center"/>
              <w:rPr>
                <w:rFonts w:cs="Calibri"/>
                <w:szCs w:val="22"/>
                <w:lang w:val="en-US"/>
              </w:rPr>
            </w:pPr>
            <w:r>
              <w:rPr>
                <w:rFonts w:cs="Calibri"/>
                <w:szCs w:val="22"/>
                <w:lang w:val="es-ES"/>
              </w:rPr>
              <w:t>Turista Superior</w:t>
            </w:r>
          </w:p>
        </w:tc>
      </w:tr>
      <w:tr w:rsidR="005C4FF5" w:rsidRPr="00D121F8" w14:paraId="1F61CA84" w14:textId="77777777" w:rsidTr="003D3D3A">
        <w:tc>
          <w:tcPr>
            <w:tcW w:w="3356" w:type="dxa"/>
            <w:vMerge/>
            <w:vAlign w:val="center"/>
          </w:tcPr>
          <w:p w14:paraId="571617F0" w14:textId="77777777" w:rsidR="005C4FF5" w:rsidRPr="00D121F8" w:rsidRDefault="005C4FF5" w:rsidP="005C4FF5">
            <w:pPr>
              <w:jc w:val="center"/>
              <w:rPr>
                <w:lang w:val="en-US"/>
              </w:rPr>
            </w:pPr>
          </w:p>
        </w:tc>
        <w:tc>
          <w:tcPr>
            <w:tcW w:w="3357" w:type="dxa"/>
          </w:tcPr>
          <w:p w14:paraId="05A13219" w14:textId="2D008C49" w:rsidR="005C4FF5" w:rsidRPr="00E81E89" w:rsidRDefault="005C4FF5" w:rsidP="005C4FF5">
            <w:pPr>
              <w:jc w:val="center"/>
            </w:pPr>
            <w:r w:rsidRPr="002B0B31">
              <w:t xml:space="preserve">Kaya Prestij </w:t>
            </w:r>
          </w:p>
        </w:tc>
        <w:tc>
          <w:tcPr>
            <w:tcW w:w="3357" w:type="dxa"/>
          </w:tcPr>
          <w:p w14:paraId="140BAFBE" w14:textId="0912864B" w:rsidR="005C4FF5" w:rsidRDefault="005C4FF5" w:rsidP="005C4FF5">
            <w:pPr>
              <w:jc w:val="center"/>
              <w:rPr>
                <w:rFonts w:cs="Calibri"/>
                <w:szCs w:val="22"/>
                <w:lang w:val="en-US"/>
              </w:rPr>
            </w:pPr>
            <w:r>
              <w:rPr>
                <w:rFonts w:cs="Calibri"/>
                <w:szCs w:val="22"/>
                <w:lang w:val="es-ES"/>
              </w:rPr>
              <w:t>Turista</w:t>
            </w:r>
          </w:p>
        </w:tc>
      </w:tr>
      <w:tr w:rsidR="005C4FF5" w:rsidRPr="00D121F8" w14:paraId="1189D171" w14:textId="77777777" w:rsidTr="003D3D3A">
        <w:tc>
          <w:tcPr>
            <w:tcW w:w="3356" w:type="dxa"/>
            <w:vMerge w:val="restart"/>
            <w:vAlign w:val="center"/>
          </w:tcPr>
          <w:p w14:paraId="05A2F02A" w14:textId="26B6A072" w:rsidR="005C4FF5" w:rsidRPr="00D121F8" w:rsidRDefault="005C4FF5" w:rsidP="005C4FF5">
            <w:pPr>
              <w:jc w:val="center"/>
              <w:rPr>
                <w:lang w:val="en-US"/>
              </w:rPr>
            </w:pPr>
            <w:r>
              <w:t>Pamukkale</w:t>
            </w:r>
          </w:p>
        </w:tc>
        <w:tc>
          <w:tcPr>
            <w:tcW w:w="3357" w:type="dxa"/>
          </w:tcPr>
          <w:p w14:paraId="56E4364D" w14:textId="47360DE7" w:rsidR="005C4FF5" w:rsidRPr="00E81E89" w:rsidRDefault="005C4FF5" w:rsidP="005C4FF5">
            <w:pPr>
              <w:jc w:val="center"/>
            </w:pPr>
            <w:r w:rsidRPr="00245F9D">
              <w:t xml:space="preserve">Anemon </w:t>
            </w:r>
          </w:p>
        </w:tc>
        <w:tc>
          <w:tcPr>
            <w:tcW w:w="3357" w:type="dxa"/>
          </w:tcPr>
          <w:p w14:paraId="0C0406E9" w14:textId="7FC0449C" w:rsidR="005C4FF5" w:rsidRDefault="005C4FF5" w:rsidP="005C4FF5">
            <w:pPr>
              <w:jc w:val="center"/>
              <w:rPr>
                <w:rFonts w:cs="Calibri"/>
                <w:szCs w:val="22"/>
                <w:lang w:val="en-US"/>
              </w:rPr>
            </w:pPr>
            <w:r w:rsidRPr="00341272">
              <w:rPr>
                <w:rFonts w:cs="Calibri"/>
                <w:szCs w:val="22"/>
                <w:lang w:val="es-ES"/>
              </w:rPr>
              <w:t>Primera</w:t>
            </w:r>
          </w:p>
        </w:tc>
      </w:tr>
      <w:tr w:rsidR="005C4FF5" w:rsidRPr="00D121F8" w14:paraId="34F02835" w14:textId="77777777" w:rsidTr="003D3D3A">
        <w:tc>
          <w:tcPr>
            <w:tcW w:w="3356" w:type="dxa"/>
            <w:vMerge/>
            <w:vAlign w:val="center"/>
          </w:tcPr>
          <w:p w14:paraId="6F34A9C0" w14:textId="77777777" w:rsidR="005C4FF5" w:rsidRPr="00D121F8" w:rsidRDefault="005C4FF5" w:rsidP="005C4FF5">
            <w:pPr>
              <w:jc w:val="center"/>
              <w:rPr>
                <w:lang w:val="en-US"/>
              </w:rPr>
            </w:pPr>
          </w:p>
        </w:tc>
        <w:tc>
          <w:tcPr>
            <w:tcW w:w="3357" w:type="dxa"/>
          </w:tcPr>
          <w:p w14:paraId="52611273" w14:textId="0E1511E1" w:rsidR="005C4FF5" w:rsidRPr="00E81E89" w:rsidRDefault="005C4FF5" w:rsidP="005C4FF5">
            <w:pPr>
              <w:jc w:val="center"/>
            </w:pPr>
            <w:r w:rsidRPr="00245F9D">
              <w:t xml:space="preserve">Adempira </w:t>
            </w:r>
          </w:p>
        </w:tc>
        <w:tc>
          <w:tcPr>
            <w:tcW w:w="3357" w:type="dxa"/>
          </w:tcPr>
          <w:p w14:paraId="710DAE99" w14:textId="595BAC4B" w:rsidR="005C4FF5" w:rsidRDefault="005C4FF5" w:rsidP="005C4FF5">
            <w:pPr>
              <w:jc w:val="center"/>
              <w:rPr>
                <w:rFonts w:cs="Calibri"/>
                <w:szCs w:val="22"/>
                <w:lang w:val="en-US"/>
              </w:rPr>
            </w:pPr>
            <w:r w:rsidRPr="00341272">
              <w:rPr>
                <w:rFonts w:cs="Calibri"/>
                <w:szCs w:val="22"/>
                <w:lang w:val="es-ES"/>
              </w:rPr>
              <w:t>Primera</w:t>
            </w:r>
          </w:p>
        </w:tc>
      </w:tr>
      <w:tr w:rsidR="005C4FF5" w:rsidRPr="00D121F8" w14:paraId="288D91C7" w14:textId="77777777" w:rsidTr="003D3D3A">
        <w:tc>
          <w:tcPr>
            <w:tcW w:w="3356" w:type="dxa"/>
            <w:vMerge/>
            <w:vAlign w:val="center"/>
          </w:tcPr>
          <w:p w14:paraId="2CF44635" w14:textId="77777777" w:rsidR="005C4FF5" w:rsidRPr="00D121F8" w:rsidRDefault="005C4FF5" w:rsidP="005C4FF5">
            <w:pPr>
              <w:jc w:val="center"/>
              <w:rPr>
                <w:lang w:val="en-US"/>
              </w:rPr>
            </w:pPr>
          </w:p>
        </w:tc>
        <w:tc>
          <w:tcPr>
            <w:tcW w:w="3357" w:type="dxa"/>
          </w:tcPr>
          <w:p w14:paraId="32362D68" w14:textId="2CEDA4FF" w:rsidR="005C4FF5" w:rsidRPr="00E81E89" w:rsidRDefault="005C4FF5" w:rsidP="005C4FF5">
            <w:pPr>
              <w:jc w:val="center"/>
            </w:pPr>
            <w:r w:rsidRPr="00245F9D">
              <w:t xml:space="preserve">Hierápolis </w:t>
            </w:r>
          </w:p>
        </w:tc>
        <w:tc>
          <w:tcPr>
            <w:tcW w:w="3357" w:type="dxa"/>
          </w:tcPr>
          <w:p w14:paraId="6378B390" w14:textId="33DF85C2" w:rsidR="005C4FF5" w:rsidRDefault="005C4FF5" w:rsidP="005C4FF5">
            <w:pPr>
              <w:jc w:val="center"/>
              <w:rPr>
                <w:rFonts w:cs="Calibri"/>
                <w:szCs w:val="22"/>
                <w:lang w:val="en-US"/>
              </w:rPr>
            </w:pPr>
            <w:r>
              <w:rPr>
                <w:rFonts w:cs="Calibri"/>
                <w:szCs w:val="22"/>
                <w:lang w:val="es-ES"/>
              </w:rPr>
              <w:t>Turista Superior</w:t>
            </w:r>
          </w:p>
        </w:tc>
      </w:tr>
      <w:tr w:rsidR="005C4FF5" w:rsidRPr="00D121F8" w14:paraId="6A55037E" w14:textId="77777777" w:rsidTr="003D3D3A">
        <w:tc>
          <w:tcPr>
            <w:tcW w:w="3356" w:type="dxa"/>
            <w:vMerge w:val="restart"/>
            <w:vAlign w:val="center"/>
          </w:tcPr>
          <w:p w14:paraId="5A1E3970" w14:textId="211B2305" w:rsidR="005C4FF5" w:rsidRPr="00D121F8" w:rsidRDefault="005C4FF5" w:rsidP="005C4FF5">
            <w:pPr>
              <w:jc w:val="center"/>
              <w:rPr>
                <w:lang w:val="en-US"/>
              </w:rPr>
            </w:pPr>
            <w:r>
              <w:t>Capadocia</w:t>
            </w:r>
          </w:p>
        </w:tc>
        <w:tc>
          <w:tcPr>
            <w:tcW w:w="3357" w:type="dxa"/>
          </w:tcPr>
          <w:p w14:paraId="548E55BA" w14:textId="291B2B7E" w:rsidR="005C4FF5" w:rsidRPr="00E81E89" w:rsidRDefault="005C4FF5" w:rsidP="005C4FF5">
            <w:pPr>
              <w:jc w:val="center"/>
            </w:pPr>
            <w:r w:rsidRPr="00555B4D">
              <w:t xml:space="preserve">Monark </w:t>
            </w:r>
          </w:p>
        </w:tc>
        <w:tc>
          <w:tcPr>
            <w:tcW w:w="3357" w:type="dxa"/>
          </w:tcPr>
          <w:p w14:paraId="737BAAD1" w14:textId="12604EDA" w:rsidR="005C4FF5" w:rsidRDefault="005C4FF5" w:rsidP="005C4FF5">
            <w:pPr>
              <w:jc w:val="center"/>
              <w:rPr>
                <w:rFonts w:cs="Calibri"/>
                <w:szCs w:val="22"/>
                <w:lang w:val="en-US"/>
              </w:rPr>
            </w:pPr>
            <w:r w:rsidRPr="00CD4D95">
              <w:rPr>
                <w:rFonts w:cs="Calibri"/>
                <w:szCs w:val="22"/>
                <w:lang w:val="es-ES"/>
              </w:rPr>
              <w:t>Turista Superior</w:t>
            </w:r>
          </w:p>
        </w:tc>
      </w:tr>
      <w:tr w:rsidR="005C4FF5" w:rsidRPr="00D121F8" w14:paraId="1B5490ED" w14:textId="77777777" w:rsidTr="003D3D3A">
        <w:tc>
          <w:tcPr>
            <w:tcW w:w="3356" w:type="dxa"/>
            <w:vMerge/>
            <w:vAlign w:val="center"/>
          </w:tcPr>
          <w:p w14:paraId="5A73E472" w14:textId="77777777" w:rsidR="005C4FF5" w:rsidRPr="00D121F8" w:rsidRDefault="005C4FF5" w:rsidP="005C4FF5">
            <w:pPr>
              <w:jc w:val="center"/>
              <w:rPr>
                <w:lang w:val="en-US"/>
              </w:rPr>
            </w:pPr>
          </w:p>
        </w:tc>
        <w:tc>
          <w:tcPr>
            <w:tcW w:w="3357" w:type="dxa"/>
          </w:tcPr>
          <w:p w14:paraId="2B0FC3EE" w14:textId="13BDBF04" w:rsidR="005C4FF5" w:rsidRPr="00E81E89" w:rsidRDefault="005C4FF5" w:rsidP="005C4FF5">
            <w:pPr>
              <w:jc w:val="center"/>
            </w:pPr>
            <w:r w:rsidRPr="00555B4D">
              <w:t xml:space="preserve">Altinoz </w:t>
            </w:r>
          </w:p>
        </w:tc>
        <w:tc>
          <w:tcPr>
            <w:tcW w:w="3357" w:type="dxa"/>
          </w:tcPr>
          <w:p w14:paraId="16DC4520" w14:textId="7155AA4E" w:rsidR="005C4FF5" w:rsidRDefault="005C4FF5" w:rsidP="005C4FF5">
            <w:pPr>
              <w:jc w:val="center"/>
              <w:rPr>
                <w:rFonts w:cs="Calibri"/>
                <w:szCs w:val="22"/>
                <w:lang w:val="en-US"/>
              </w:rPr>
            </w:pPr>
            <w:r w:rsidRPr="00CD4D95">
              <w:rPr>
                <w:rFonts w:cs="Calibri"/>
                <w:szCs w:val="22"/>
                <w:lang w:val="es-ES"/>
              </w:rPr>
              <w:t>Turista Superior</w:t>
            </w:r>
          </w:p>
        </w:tc>
      </w:tr>
      <w:tr w:rsidR="005C4FF5" w:rsidRPr="00D121F8" w14:paraId="4DADB7E4" w14:textId="77777777" w:rsidTr="003D3D3A">
        <w:tc>
          <w:tcPr>
            <w:tcW w:w="3356" w:type="dxa"/>
            <w:vMerge/>
            <w:vAlign w:val="center"/>
          </w:tcPr>
          <w:p w14:paraId="497AEBCB" w14:textId="77777777" w:rsidR="005C4FF5" w:rsidRPr="00D121F8" w:rsidRDefault="005C4FF5" w:rsidP="005C4FF5">
            <w:pPr>
              <w:jc w:val="center"/>
              <w:rPr>
                <w:lang w:val="en-US"/>
              </w:rPr>
            </w:pPr>
          </w:p>
        </w:tc>
        <w:tc>
          <w:tcPr>
            <w:tcW w:w="3357" w:type="dxa"/>
          </w:tcPr>
          <w:p w14:paraId="0BB49767" w14:textId="301CFBFD" w:rsidR="005C4FF5" w:rsidRPr="00E81E89" w:rsidRDefault="005C4FF5" w:rsidP="005C4FF5">
            <w:pPr>
              <w:jc w:val="center"/>
            </w:pPr>
            <w:r w:rsidRPr="006A20F9">
              <w:t xml:space="preserve">Mustafa Resort </w:t>
            </w:r>
          </w:p>
        </w:tc>
        <w:tc>
          <w:tcPr>
            <w:tcW w:w="3357" w:type="dxa"/>
          </w:tcPr>
          <w:p w14:paraId="2A20F6ED" w14:textId="62FBE316" w:rsidR="005C4FF5" w:rsidRDefault="005C4FF5" w:rsidP="005C4FF5">
            <w:pPr>
              <w:jc w:val="center"/>
              <w:rPr>
                <w:rFonts w:cs="Calibri"/>
                <w:szCs w:val="22"/>
                <w:lang w:val="en-US"/>
              </w:rPr>
            </w:pPr>
            <w:r w:rsidRPr="00C6475D">
              <w:rPr>
                <w:rFonts w:cs="Calibri"/>
                <w:szCs w:val="22"/>
                <w:lang w:val="es-ES"/>
              </w:rPr>
              <w:t>Primera</w:t>
            </w:r>
          </w:p>
        </w:tc>
      </w:tr>
    </w:tbl>
    <w:p w14:paraId="36CB5C8C" w14:textId="32AA3FE0" w:rsidR="00E7748A" w:rsidRDefault="00E7748A" w:rsidP="00D121F8">
      <w:pPr>
        <w:pStyle w:val="itinerario"/>
      </w:pPr>
    </w:p>
    <w:p w14:paraId="617E8272" w14:textId="43E199D5" w:rsidR="001F55BC" w:rsidRPr="003C7C40" w:rsidRDefault="001F55BC" w:rsidP="001F55BC">
      <w:pPr>
        <w:pStyle w:val="dias"/>
        <w:jc w:val="both"/>
        <w:rPr>
          <w:color w:val="1F3864"/>
          <w:sz w:val="28"/>
          <w:szCs w:val="28"/>
        </w:rPr>
      </w:pPr>
      <w:r w:rsidRPr="003C7C40">
        <w:rPr>
          <w:caps w:val="0"/>
          <w:color w:val="1F3864"/>
          <w:sz w:val="28"/>
          <w:szCs w:val="28"/>
        </w:rPr>
        <w:t xml:space="preserve">SUPLEMENTO ALOJAMIENTO EN CAPADOCIA EN </w:t>
      </w:r>
      <w:r>
        <w:rPr>
          <w:caps w:val="0"/>
          <w:color w:val="1F3864"/>
          <w:sz w:val="28"/>
          <w:szCs w:val="28"/>
        </w:rPr>
        <w:t>HOTEL DE CUEVA</w:t>
      </w:r>
    </w:p>
    <w:p w14:paraId="4D5F2AFA" w14:textId="77777777" w:rsidR="001F55BC" w:rsidRDefault="001F55BC" w:rsidP="001F55BC">
      <w:pPr>
        <w:pStyle w:val="itinerario"/>
      </w:pPr>
    </w:p>
    <w:tbl>
      <w:tblPr>
        <w:tblStyle w:val="Tablaconcuadrcula"/>
        <w:tblW w:w="0" w:type="auto"/>
        <w:tblLook w:val="04A0" w:firstRow="1" w:lastRow="0" w:firstColumn="1" w:lastColumn="0" w:noHBand="0" w:noVBand="1"/>
      </w:tblPr>
      <w:tblGrid>
        <w:gridCol w:w="5030"/>
        <w:gridCol w:w="5030"/>
      </w:tblGrid>
      <w:tr w:rsidR="001F55BC" w:rsidRPr="009E4D64" w14:paraId="0DB17D41" w14:textId="77777777" w:rsidTr="00C4725E">
        <w:tc>
          <w:tcPr>
            <w:tcW w:w="5030" w:type="dxa"/>
            <w:shd w:val="clear" w:color="auto" w:fill="1F3864"/>
            <w:vAlign w:val="center"/>
          </w:tcPr>
          <w:p w14:paraId="5700914F" w14:textId="77777777" w:rsidR="001F55BC" w:rsidRPr="009E4D64" w:rsidRDefault="001F55BC" w:rsidP="00D618D8">
            <w:pPr>
              <w:jc w:val="center"/>
              <w:rPr>
                <w:b/>
                <w:color w:val="FFFFFF" w:themeColor="background1"/>
                <w:sz w:val="28"/>
                <w:szCs w:val="28"/>
              </w:rPr>
            </w:pPr>
            <w:r>
              <w:rPr>
                <w:b/>
                <w:color w:val="FFFFFF" w:themeColor="background1"/>
                <w:sz w:val="28"/>
                <w:szCs w:val="28"/>
              </w:rPr>
              <w:t xml:space="preserve">Acomodación </w:t>
            </w:r>
          </w:p>
        </w:tc>
        <w:tc>
          <w:tcPr>
            <w:tcW w:w="5030" w:type="dxa"/>
            <w:shd w:val="clear" w:color="auto" w:fill="1F3864"/>
            <w:vAlign w:val="center"/>
          </w:tcPr>
          <w:p w14:paraId="09B20689" w14:textId="77777777" w:rsidR="001F55BC" w:rsidRPr="009E4D64" w:rsidRDefault="001F55BC" w:rsidP="00D618D8">
            <w:pPr>
              <w:jc w:val="center"/>
              <w:rPr>
                <w:b/>
                <w:color w:val="FFFFFF" w:themeColor="background1"/>
                <w:sz w:val="28"/>
                <w:szCs w:val="28"/>
              </w:rPr>
            </w:pPr>
            <w:r>
              <w:rPr>
                <w:b/>
                <w:color w:val="FFFFFF" w:themeColor="background1"/>
                <w:sz w:val="28"/>
                <w:szCs w:val="28"/>
              </w:rPr>
              <w:t>USD</w:t>
            </w:r>
          </w:p>
        </w:tc>
      </w:tr>
      <w:tr w:rsidR="001F55BC" w14:paraId="48A433A7" w14:textId="77777777" w:rsidTr="00C4725E">
        <w:tc>
          <w:tcPr>
            <w:tcW w:w="5030" w:type="dxa"/>
            <w:vAlign w:val="center"/>
          </w:tcPr>
          <w:p w14:paraId="6D1EE507" w14:textId="77777777" w:rsidR="001F55BC" w:rsidRDefault="001F55BC" w:rsidP="00D618D8">
            <w:pPr>
              <w:jc w:val="center"/>
              <w:rPr>
                <w:rFonts w:cs="Arial"/>
                <w:szCs w:val="22"/>
              </w:rPr>
            </w:pPr>
            <w:r>
              <w:rPr>
                <w:rFonts w:cs="Arial"/>
                <w:szCs w:val="22"/>
              </w:rPr>
              <w:t>Doble o Triple</w:t>
            </w:r>
          </w:p>
        </w:tc>
        <w:tc>
          <w:tcPr>
            <w:tcW w:w="5030" w:type="dxa"/>
          </w:tcPr>
          <w:p w14:paraId="586227F8" w14:textId="177A8E0F" w:rsidR="001F55BC" w:rsidRDefault="001F55BC" w:rsidP="00D618D8">
            <w:pPr>
              <w:jc w:val="center"/>
            </w:pPr>
            <w:r>
              <w:t>185</w:t>
            </w:r>
          </w:p>
        </w:tc>
      </w:tr>
      <w:tr w:rsidR="001F55BC" w:rsidRPr="00C76F71" w14:paraId="5C35C910" w14:textId="77777777" w:rsidTr="00C4725E">
        <w:tc>
          <w:tcPr>
            <w:tcW w:w="5030" w:type="dxa"/>
          </w:tcPr>
          <w:p w14:paraId="5E5E7059" w14:textId="77777777" w:rsidR="001F55BC" w:rsidRDefault="001F55BC" w:rsidP="00D618D8">
            <w:pPr>
              <w:jc w:val="center"/>
              <w:rPr>
                <w:rFonts w:cs="Arial"/>
                <w:szCs w:val="22"/>
              </w:rPr>
            </w:pPr>
            <w:r>
              <w:rPr>
                <w:rFonts w:cs="Arial"/>
                <w:szCs w:val="22"/>
              </w:rPr>
              <w:t>Sencilla</w:t>
            </w:r>
          </w:p>
        </w:tc>
        <w:tc>
          <w:tcPr>
            <w:tcW w:w="5030" w:type="dxa"/>
          </w:tcPr>
          <w:p w14:paraId="38D19B0B" w14:textId="327E798F" w:rsidR="001F55BC" w:rsidRPr="00C76F71" w:rsidRDefault="001F55BC" w:rsidP="00D618D8">
            <w:pPr>
              <w:jc w:val="center"/>
            </w:pPr>
            <w:r>
              <w:t>370</w:t>
            </w:r>
          </w:p>
        </w:tc>
      </w:tr>
    </w:tbl>
    <w:p w14:paraId="166F6360" w14:textId="77777777" w:rsidR="001F55BC" w:rsidRDefault="001F55BC" w:rsidP="001F55BC">
      <w:pPr>
        <w:pStyle w:val="itinerario"/>
      </w:pPr>
    </w:p>
    <w:p w14:paraId="4A441751" w14:textId="77777777" w:rsidR="001F55BC" w:rsidRPr="009A2537" w:rsidRDefault="001F55BC" w:rsidP="001F55B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36C1552B" w14:textId="77777777" w:rsidR="00C4725E" w:rsidRDefault="00C4725E" w:rsidP="00C4725E">
      <w:pPr>
        <w:pStyle w:val="itinerario"/>
      </w:pPr>
    </w:p>
    <w:p w14:paraId="788A5C8E" w14:textId="095756EE" w:rsidR="00632155" w:rsidRPr="005D73CE" w:rsidRDefault="00632155" w:rsidP="00632155">
      <w:pPr>
        <w:pStyle w:val="dias"/>
        <w:rPr>
          <w:color w:val="1F3864"/>
          <w:sz w:val="28"/>
          <w:szCs w:val="28"/>
        </w:rPr>
      </w:pPr>
      <w:r w:rsidRPr="005D73CE">
        <w:rPr>
          <w:color w:val="1F3864"/>
          <w:sz w:val="28"/>
          <w:szCs w:val="28"/>
        </w:rPr>
        <w:t>VISITAS OPCIONALES POR PERSONA</w:t>
      </w:r>
    </w:p>
    <w:p w14:paraId="6F0DAAA5" w14:textId="77777777" w:rsidR="00632155" w:rsidRPr="00554B1E" w:rsidRDefault="00632155" w:rsidP="00632155">
      <w:pPr>
        <w:pStyle w:val="Sinespaciado"/>
      </w:pPr>
    </w:p>
    <w:tbl>
      <w:tblPr>
        <w:tblStyle w:val="Tablaconcuadrcula"/>
        <w:tblW w:w="0" w:type="auto"/>
        <w:tblLook w:val="04A0" w:firstRow="1" w:lastRow="0" w:firstColumn="1" w:lastColumn="0" w:noHBand="0" w:noVBand="1"/>
      </w:tblPr>
      <w:tblGrid>
        <w:gridCol w:w="1413"/>
        <w:gridCol w:w="6946"/>
        <w:gridCol w:w="1711"/>
      </w:tblGrid>
      <w:tr w:rsidR="00632155" w:rsidRPr="00554B1E" w14:paraId="6509538E" w14:textId="77777777" w:rsidTr="00AE6FFF">
        <w:tc>
          <w:tcPr>
            <w:tcW w:w="1413" w:type="dxa"/>
            <w:shd w:val="pct20" w:color="auto" w:fill="1F3864"/>
            <w:vAlign w:val="center"/>
          </w:tcPr>
          <w:p w14:paraId="7A586DE7"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D7D41C3"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Visita</w:t>
            </w:r>
          </w:p>
        </w:tc>
        <w:tc>
          <w:tcPr>
            <w:tcW w:w="1711" w:type="dxa"/>
            <w:shd w:val="pct20" w:color="auto" w:fill="1F3864"/>
            <w:vAlign w:val="center"/>
          </w:tcPr>
          <w:p w14:paraId="39509FA5"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Valor</w:t>
            </w:r>
          </w:p>
        </w:tc>
      </w:tr>
      <w:tr w:rsidR="00632155" w:rsidRPr="00554B1E" w14:paraId="26107EE7" w14:textId="77777777" w:rsidTr="00AE6FFF">
        <w:tc>
          <w:tcPr>
            <w:tcW w:w="1413" w:type="dxa"/>
            <w:vAlign w:val="center"/>
          </w:tcPr>
          <w:p w14:paraId="5D7EEF2F" w14:textId="77777777" w:rsidR="00632155" w:rsidRPr="00AE6FFF" w:rsidRDefault="00632155" w:rsidP="00D618D8">
            <w:pPr>
              <w:jc w:val="center"/>
              <w:rPr>
                <w:rFonts w:cs="Arial"/>
              </w:rPr>
            </w:pPr>
            <w:r w:rsidRPr="00AE6FFF">
              <w:rPr>
                <w:rFonts w:cs="Arial"/>
              </w:rPr>
              <w:t>Capadocia</w:t>
            </w:r>
          </w:p>
        </w:tc>
        <w:tc>
          <w:tcPr>
            <w:tcW w:w="6946" w:type="dxa"/>
            <w:vAlign w:val="center"/>
          </w:tcPr>
          <w:p w14:paraId="69AABB22" w14:textId="77777777" w:rsidR="00632155" w:rsidRPr="00AE6FFF" w:rsidRDefault="00632155" w:rsidP="00D618D8">
            <w:pPr>
              <w:jc w:val="center"/>
              <w:rPr>
                <w:rFonts w:cs="Arial"/>
              </w:rPr>
            </w:pPr>
            <w:r w:rsidRPr="00AE6FFF">
              <w:rPr>
                <w:rFonts w:cs="Arial"/>
              </w:rPr>
              <w:t>Paseo en Globo – sujeto a condiciones meteorológicas y a disponibilidad</w:t>
            </w:r>
          </w:p>
        </w:tc>
        <w:tc>
          <w:tcPr>
            <w:tcW w:w="1711" w:type="dxa"/>
            <w:vAlign w:val="center"/>
          </w:tcPr>
          <w:p w14:paraId="55D9F81E" w14:textId="255131D2" w:rsidR="00632155" w:rsidRPr="00AE6FFF" w:rsidRDefault="00AE6FFF" w:rsidP="00D618D8">
            <w:pPr>
              <w:jc w:val="center"/>
              <w:rPr>
                <w:rFonts w:cs="Arial"/>
              </w:rPr>
            </w:pPr>
            <w:r w:rsidRPr="00AE6FFF">
              <w:rPr>
                <w:rFonts w:cs="Arial"/>
              </w:rPr>
              <w:t xml:space="preserve">235 a 335 </w:t>
            </w:r>
            <w:r>
              <w:rPr>
                <w:rFonts w:cs="Arial"/>
              </w:rPr>
              <w:t>E</w:t>
            </w:r>
            <w:r w:rsidRPr="00AE6FFF">
              <w:rPr>
                <w:rFonts w:cs="Arial"/>
              </w:rPr>
              <w:t>uros</w:t>
            </w:r>
          </w:p>
        </w:tc>
      </w:tr>
      <w:tr w:rsidR="00632155" w:rsidRPr="00554B1E" w14:paraId="63FB64BD" w14:textId="77777777" w:rsidTr="00AE6FFF">
        <w:tc>
          <w:tcPr>
            <w:tcW w:w="1413" w:type="dxa"/>
            <w:vAlign w:val="center"/>
          </w:tcPr>
          <w:p w14:paraId="61E11BE3" w14:textId="77777777" w:rsidR="00632155" w:rsidRPr="00AE6FFF" w:rsidRDefault="00632155" w:rsidP="00D618D8">
            <w:pPr>
              <w:jc w:val="center"/>
              <w:rPr>
                <w:rFonts w:cs="Arial"/>
              </w:rPr>
            </w:pPr>
            <w:r w:rsidRPr="00AE6FFF">
              <w:rPr>
                <w:rFonts w:cs="Arial"/>
              </w:rPr>
              <w:t>Capadocia</w:t>
            </w:r>
          </w:p>
        </w:tc>
        <w:tc>
          <w:tcPr>
            <w:tcW w:w="6946" w:type="dxa"/>
            <w:vAlign w:val="center"/>
          </w:tcPr>
          <w:p w14:paraId="13F7C79B" w14:textId="7A103259" w:rsidR="00632155" w:rsidRPr="00AE6FFF" w:rsidRDefault="00AE6FFF" w:rsidP="00D618D8">
            <w:pPr>
              <w:jc w:val="center"/>
              <w:rPr>
                <w:rFonts w:cs="Arial"/>
              </w:rPr>
            </w:pPr>
            <w:r w:rsidRPr="00AE6FFF">
              <w:rPr>
                <w:rFonts w:cs="Arial"/>
              </w:rPr>
              <w:t>Espectáculo de bailes folklóricos en una típica cueva</w:t>
            </w:r>
            <w:r>
              <w:rPr>
                <w:rFonts w:cs="Arial"/>
              </w:rPr>
              <w:t>. Incluye</w:t>
            </w:r>
            <w:r w:rsidRPr="00AE6FFF">
              <w:rPr>
                <w:rFonts w:cs="Arial"/>
              </w:rPr>
              <w:t xml:space="preserve"> bebidas </w:t>
            </w:r>
          </w:p>
        </w:tc>
        <w:tc>
          <w:tcPr>
            <w:tcW w:w="1711" w:type="dxa"/>
            <w:vAlign w:val="center"/>
          </w:tcPr>
          <w:p w14:paraId="23B14D9E" w14:textId="634847A4" w:rsidR="00632155" w:rsidRPr="00AE6FFF" w:rsidRDefault="00AE6FFF" w:rsidP="00D618D8">
            <w:pPr>
              <w:jc w:val="center"/>
              <w:rPr>
                <w:rFonts w:cs="Arial"/>
              </w:rPr>
            </w:pPr>
            <w:r>
              <w:rPr>
                <w:rFonts w:cs="Arial"/>
              </w:rPr>
              <w:t xml:space="preserve">USD </w:t>
            </w:r>
            <w:r w:rsidRPr="00AE6FFF">
              <w:rPr>
                <w:rFonts w:cs="Arial"/>
              </w:rPr>
              <w:t>65</w:t>
            </w:r>
          </w:p>
        </w:tc>
      </w:tr>
    </w:tbl>
    <w:p w14:paraId="7B3A8ECF" w14:textId="77777777" w:rsidR="00632155" w:rsidRDefault="00632155" w:rsidP="00632155">
      <w:pPr>
        <w:pStyle w:val="itinerario"/>
      </w:pPr>
    </w:p>
    <w:p w14:paraId="1085A585" w14:textId="77777777" w:rsidR="00632155" w:rsidRPr="00952BD5" w:rsidRDefault="00632155" w:rsidP="00632155">
      <w:pPr>
        <w:pStyle w:val="vinetas"/>
        <w:ind w:left="720" w:hanging="360"/>
        <w:jc w:val="both"/>
      </w:pPr>
      <w:r w:rsidRPr="00952BD5">
        <w:t xml:space="preserve">El valor de las visitas y excursiones es orientativo, sujeto a cambios sin previo aviso. </w:t>
      </w:r>
    </w:p>
    <w:p w14:paraId="0E7732BB" w14:textId="70334A06" w:rsidR="00632155" w:rsidRPr="00AB2C14" w:rsidRDefault="00632155" w:rsidP="00632155">
      <w:pPr>
        <w:pStyle w:val="vinetas"/>
        <w:ind w:left="720" w:hanging="360"/>
        <w:jc w:val="both"/>
      </w:pPr>
      <w:r w:rsidRPr="00AB2C14">
        <w:t xml:space="preserve">Los precios del paseo en globo dependen de la demanda en el mercado y los operadores de los globos, </w:t>
      </w:r>
      <w:r w:rsidR="00AE6FFF">
        <w:t xml:space="preserve">lo </w:t>
      </w:r>
      <w:r w:rsidRPr="00AB2C14">
        <w:t xml:space="preserve">pueden </w:t>
      </w:r>
      <w:r w:rsidR="00AE6FFF">
        <w:t>modificar</w:t>
      </w:r>
      <w:r w:rsidRPr="00AB2C14">
        <w:t xml:space="preserve"> sin previo aviso.</w:t>
      </w:r>
    </w:p>
    <w:p w14:paraId="158DB5F6" w14:textId="79746851" w:rsidR="00632155" w:rsidRDefault="00632155" w:rsidP="00561E82">
      <w:pPr>
        <w:pStyle w:val="itinerario"/>
      </w:pPr>
    </w:p>
    <w:p w14:paraId="01D2E7F6" w14:textId="77777777" w:rsidR="00064636" w:rsidRDefault="00064636" w:rsidP="00561E82">
      <w:pPr>
        <w:pStyle w:val="itinerario"/>
      </w:pPr>
    </w:p>
    <w:p w14:paraId="4F36956B" w14:textId="7C0F025C" w:rsidR="00632155" w:rsidRDefault="00632155" w:rsidP="00561E82">
      <w:pPr>
        <w:pStyle w:val="itinerario"/>
      </w:pPr>
    </w:p>
    <w:p w14:paraId="4265529F" w14:textId="77777777" w:rsidR="00D121F8" w:rsidRDefault="00D121F8"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5AE8854" w14:textId="76D92FB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56F508AE" w14:textId="77777777" w:rsidR="005C4FF5" w:rsidRDefault="005C4FF5" w:rsidP="00282F55">
      <w:pPr>
        <w:pStyle w:val="dias"/>
        <w:rPr>
          <w:caps w:val="0"/>
          <w:color w:val="1F3864"/>
          <w:sz w:val="28"/>
          <w:szCs w:val="28"/>
        </w:rPr>
      </w:pPr>
      <w:bookmarkStart w:id="4" w:name="_Hlk161218567"/>
    </w:p>
    <w:p w14:paraId="3B1EF6DB" w14:textId="61FD8C1C"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4"/>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56A3A97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492468E" w14:textId="77777777" w:rsidR="005C4FF5" w:rsidRDefault="005C4FF5" w:rsidP="00282F55">
      <w:pPr>
        <w:spacing w:before="240" w:after="0" w:line="120" w:lineRule="atLeast"/>
        <w:rPr>
          <w:rFonts w:cs="Calibri"/>
          <w:b/>
          <w:bCs/>
          <w:color w:val="1F3864"/>
          <w:sz w:val="28"/>
          <w:szCs w:val="28"/>
          <w:lang w:val="es-419"/>
        </w:rPr>
      </w:pPr>
    </w:p>
    <w:p w14:paraId="03D32848" w14:textId="77777777" w:rsidR="001208FE" w:rsidRDefault="001208FE" w:rsidP="00282F55">
      <w:pPr>
        <w:spacing w:before="240" w:after="0" w:line="120" w:lineRule="atLeast"/>
        <w:rPr>
          <w:rFonts w:cs="Calibri"/>
          <w:b/>
          <w:bCs/>
          <w:color w:val="1F3864"/>
          <w:sz w:val="28"/>
          <w:szCs w:val="28"/>
          <w:lang w:val="es-419"/>
        </w:rPr>
      </w:pPr>
    </w:p>
    <w:p w14:paraId="19C192C5" w14:textId="0ABCB0B1"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31ED111D"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B6DBB08" w14:textId="77777777" w:rsidR="005C4FF5" w:rsidRDefault="005C4FF5" w:rsidP="00282F55">
      <w:pPr>
        <w:spacing w:before="240" w:after="0" w:line="120" w:lineRule="atLeast"/>
        <w:rPr>
          <w:rFonts w:cs="Calibri"/>
          <w:b/>
          <w:bCs/>
          <w:color w:val="1F3864"/>
          <w:sz w:val="28"/>
          <w:szCs w:val="28"/>
          <w:lang w:val="es-419"/>
        </w:rPr>
      </w:pPr>
    </w:p>
    <w:p w14:paraId="332663E2" w14:textId="77777777" w:rsidR="005C4FF5" w:rsidRDefault="005C4FF5" w:rsidP="00282F55">
      <w:pPr>
        <w:spacing w:before="240" w:after="0" w:line="120" w:lineRule="atLeast"/>
        <w:rPr>
          <w:rFonts w:cs="Calibri"/>
          <w:b/>
          <w:bCs/>
          <w:color w:val="1F3864"/>
          <w:sz w:val="28"/>
          <w:szCs w:val="28"/>
          <w:lang w:val="es-419"/>
        </w:rPr>
      </w:pPr>
    </w:p>
    <w:p w14:paraId="46187609" w14:textId="77777777" w:rsidR="005C4FF5" w:rsidRDefault="005C4FF5" w:rsidP="00282F55">
      <w:pPr>
        <w:spacing w:before="240" w:after="0" w:line="120" w:lineRule="atLeast"/>
        <w:rPr>
          <w:rFonts w:cs="Calibri"/>
          <w:b/>
          <w:bCs/>
          <w:color w:val="1F3864"/>
          <w:sz w:val="28"/>
          <w:szCs w:val="28"/>
          <w:lang w:val="es-419"/>
        </w:rPr>
      </w:pPr>
    </w:p>
    <w:p w14:paraId="151C2020" w14:textId="62D2A53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3646035A"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2CD933F3" w14:textId="77777777" w:rsidR="005C4FF5" w:rsidRDefault="005C4FF5" w:rsidP="00282F55">
      <w:pPr>
        <w:spacing w:before="240" w:after="0" w:line="120" w:lineRule="atLeast"/>
        <w:rPr>
          <w:rFonts w:cs="Calibri"/>
          <w:b/>
          <w:bCs/>
          <w:color w:val="1F3864"/>
          <w:sz w:val="28"/>
          <w:szCs w:val="28"/>
          <w:lang w:val="es-419"/>
        </w:rPr>
      </w:pPr>
    </w:p>
    <w:p w14:paraId="5D764235" w14:textId="33750F5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064636"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asesor1@allreps.com</w:t>
        </w:r>
      </w:hyperlink>
    </w:p>
    <w:p w14:paraId="71026795" w14:textId="77777777" w:rsidR="00282F55" w:rsidRPr="0061190E" w:rsidRDefault="00064636" w:rsidP="00282F55">
      <w:pPr>
        <w:numPr>
          <w:ilvl w:val="0"/>
          <w:numId w:val="11"/>
        </w:numPr>
        <w:spacing w:line="0" w:lineRule="atLeast"/>
        <w:ind w:left="714" w:hanging="357"/>
        <w:contextualSpacing/>
        <w:rPr>
          <w:rFonts w:cs="Calibri"/>
          <w:szCs w:val="22"/>
          <w:lang w:val="es-419"/>
        </w:rPr>
      </w:pPr>
      <w:hyperlink r:id="rId11"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B84A97A"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6B1B8" w14:textId="77777777" w:rsidR="00632155" w:rsidRPr="004054FD" w:rsidRDefault="00632155"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9"/>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17"/>
  </w:num>
  <w:num w:numId="30">
    <w:abstractNumId w:val="4"/>
  </w:num>
  <w:num w:numId="31">
    <w:abstractNumId w:val="18"/>
  </w:num>
  <w:num w:numId="32">
    <w:abstractNumId w:val="18"/>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422"/>
    <w:rsid w:val="000147B1"/>
    <w:rsid w:val="00015DCC"/>
    <w:rsid w:val="00017CBB"/>
    <w:rsid w:val="00024EC8"/>
    <w:rsid w:val="00025FE1"/>
    <w:rsid w:val="00033200"/>
    <w:rsid w:val="000359D4"/>
    <w:rsid w:val="00037549"/>
    <w:rsid w:val="000412D8"/>
    <w:rsid w:val="00041BD0"/>
    <w:rsid w:val="000459B8"/>
    <w:rsid w:val="0005010B"/>
    <w:rsid w:val="00050548"/>
    <w:rsid w:val="000530A9"/>
    <w:rsid w:val="0005451C"/>
    <w:rsid w:val="00054E60"/>
    <w:rsid w:val="000567B5"/>
    <w:rsid w:val="00060439"/>
    <w:rsid w:val="00064636"/>
    <w:rsid w:val="0007013F"/>
    <w:rsid w:val="000901D0"/>
    <w:rsid w:val="000B17EA"/>
    <w:rsid w:val="000B3E79"/>
    <w:rsid w:val="000D1A4F"/>
    <w:rsid w:val="000E6A21"/>
    <w:rsid w:val="000F6068"/>
    <w:rsid w:val="00100E5B"/>
    <w:rsid w:val="001023B8"/>
    <w:rsid w:val="00102C23"/>
    <w:rsid w:val="00104438"/>
    <w:rsid w:val="001208FE"/>
    <w:rsid w:val="00133FF0"/>
    <w:rsid w:val="00134D2B"/>
    <w:rsid w:val="00141790"/>
    <w:rsid w:val="00141ED2"/>
    <w:rsid w:val="00150FA0"/>
    <w:rsid w:val="00160F92"/>
    <w:rsid w:val="00181DDD"/>
    <w:rsid w:val="00185465"/>
    <w:rsid w:val="001B3726"/>
    <w:rsid w:val="001B720E"/>
    <w:rsid w:val="001C01DA"/>
    <w:rsid w:val="001C31E6"/>
    <w:rsid w:val="001D3CCB"/>
    <w:rsid w:val="001D5CBA"/>
    <w:rsid w:val="001E2B89"/>
    <w:rsid w:val="001E3146"/>
    <w:rsid w:val="001F027C"/>
    <w:rsid w:val="001F10CF"/>
    <w:rsid w:val="001F1198"/>
    <w:rsid w:val="001F55BC"/>
    <w:rsid w:val="00200F38"/>
    <w:rsid w:val="002101A1"/>
    <w:rsid w:val="002151C1"/>
    <w:rsid w:val="00217D12"/>
    <w:rsid w:val="00230FAA"/>
    <w:rsid w:val="00232FFD"/>
    <w:rsid w:val="00237660"/>
    <w:rsid w:val="00253688"/>
    <w:rsid w:val="00257E57"/>
    <w:rsid w:val="00270960"/>
    <w:rsid w:val="00276F52"/>
    <w:rsid w:val="00282F55"/>
    <w:rsid w:val="002861AE"/>
    <w:rsid w:val="002909DF"/>
    <w:rsid w:val="002B29D6"/>
    <w:rsid w:val="002B391B"/>
    <w:rsid w:val="002C0BF8"/>
    <w:rsid w:val="002C4047"/>
    <w:rsid w:val="002C584A"/>
    <w:rsid w:val="002C5F6D"/>
    <w:rsid w:val="002D2E83"/>
    <w:rsid w:val="002E1B8C"/>
    <w:rsid w:val="002F51AB"/>
    <w:rsid w:val="00303A48"/>
    <w:rsid w:val="00310D75"/>
    <w:rsid w:val="00317602"/>
    <w:rsid w:val="00321CF1"/>
    <w:rsid w:val="00325868"/>
    <w:rsid w:val="003371A5"/>
    <w:rsid w:val="0035021B"/>
    <w:rsid w:val="00370B9D"/>
    <w:rsid w:val="00372444"/>
    <w:rsid w:val="0037259B"/>
    <w:rsid w:val="00375CD8"/>
    <w:rsid w:val="0038536A"/>
    <w:rsid w:val="003931B3"/>
    <w:rsid w:val="003B1823"/>
    <w:rsid w:val="003B50B1"/>
    <w:rsid w:val="003B7885"/>
    <w:rsid w:val="003C113F"/>
    <w:rsid w:val="003F0BD2"/>
    <w:rsid w:val="003F6576"/>
    <w:rsid w:val="00402BE0"/>
    <w:rsid w:val="004054FD"/>
    <w:rsid w:val="00413BAE"/>
    <w:rsid w:val="0041736B"/>
    <w:rsid w:val="00427A4F"/>
    <w:rsid w:val="004357AB"/>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80B47"/>
    <w:rsid w:val="00484D0B"/>
    <w:rsid w:val="004A7222"/>
    <w:rsid w:val="004B79EA"/>
    <w:rsid w:val="004C2017"/>
    <w:rsid w:val="004D209E"/>
    <w:rsid w:val="004E030B"/>
    <w:rsid w:val="004E25F6"/>
    <w:rsid w:val="004E5654"/>
    <w:rsid w:val="004F5335"/>
    <w:rsid w:val="0050046A"/>
    <w:rsid w:val="00505A31"/>
    <w:rsid w:val="005208C4"/>
    <w:rsid w:val="00531067"/>
    <w:rsid w:val="00533C8F"/>
    <w:rsid w:val="00544C98"/>
    <w:rsid w:val="00550E71"/>
    <w:rsid w:val="005545D0"/>
    <w:rsid w:val="00556CB9"/>
    <w:rsid w:val="0055744B"/>
    <w:rsid w:val="00561E82"/>
    <w:rsid w:val="005622EA"/>
    <w:rsid w:val="00565268"/>
    <w:rsid w:val="00566E73"/>
    <w:rsid w:val="005716E4"/>
    <w:rsid w:val="00574621"/>
    <w:rsid w:val="00575080"/>
    <w:rsid w:val="0058765E"/>
    <w:rsid w:val="005A2ED9"/>
    <w:rsid w:val="005C4FF5"/>
    <w:rsid w:val="005D03DC"/>
    <w:rsid w:val="005E0021"/>
    <w:rsid w:val="005E27D0"/>
    <w:rsid w:val="005F44CF"/>
    <w:rsid w:val="005F59D6"/>
    <w:rsid w:val="00600CED"/>
    <w:rsid w:val="0060546B"/>
    <w:rsid w:val="00607CB6"/>
    <w:rsid w:val="00621B9B"/>
    <w:rsid w:val="00632155"/>
    <w:rsid w:val="00634F91"/>
    <w:rsid w:val="00635EB7"/>
    <w:rsid w:val="0064206E"/>
    <w:rsid w:val="006543BD"/>
    <w:rsid w:val="00660740"/>
    <w:rsid w:val="00670641"/>
    <w:rsid w:val="006814C2"/>
    <w:rsid w:val="006977B7"/>
    <w:rsid w:val="006A2CB4"/>
    <w:rsid w:val="006A3D7B"/>
    <w:rsid w:val="006A50EF"/>
    <w:rsid w:val="006C3FA2"/>
    <w:rsid w:val="006C70A0"/>
    <w:rsid w:val="006D3756"/>
    <w:rsid w:val="006F65C5"/>
    <w:rsid w:val="006F7817"/>
    <w:rsid w:val="006F7833"/>
    <w:rsid w:val="00700E87"/>
    <w:rsid w:val="007075FC"/>
    <w:rsid w:val="00713C64"/>
    <w:rsid w:val="007410AD"/>
    <w:rsid w:val="00744C80"/>
    <w:rsid w:val="00745160"/>
    <w:rsid w:val="00750504"/>
    <w:rsid w:val="00753085"/>
    <w:rsid w:val="00754D59"/>
    <w:rsid w:val="007559BD"/>
    <w:rsid w:val="00764B86"/>
    <w:rsid w:val="00765C94"/>
    <w:rsid w:val="007739CF"/>
    <w:rsid w:val="0077599F"/>
    <w:rsid w:val="00776C06"/>
    <w:rsid w:val="00784261"/>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54679"/>
    <w:rsid w:val="0086684D"/>
    <w:rsid w:val="00872B33"/>
    <w:rsid w:val="00885A1F"/>
    <w:rsid w:val="00885A27"/>
    <w:rsid w:val="008A106A"/>
    <w:rsid w:val="008A70DD"/>
    <w:rsid w:val="008B0F64"/>
    <w:rsid w:val="008C16C1"/>
    <w:rsid w:val="008C251A"/>
    <w:rsid w:val="008C6D28"/>
    <w:rsid w:val="008D4640"/>
    <w:rsid w:val="008E0128"/>
    <w:rsid w:val="008E3454"/>
    <w:rsid w:val="008E4AC6"/>
    <w:rsid w:val="008E66EE"/>
    <w:rsid w:val="008E7A8F"/>
    <w:rsid w:val="008E7CA9"/>
    <w:rsid w:val="008F1D53"/>
    <w:rsid w:val="008F6DB1"/>
    <w:rsid w:val="008F799B"/>
    <w:rsid w:val="008F7F88"/>
    <w:rsid w:val="00914B0D"/>
    <w:rsid w:val="009237F0"/>
    <w:rsid w:val="00924410"/>
    <w:rsid w:val="0092472A"/>
    <w:rsid w:val="00924E3C"/>
    <w:rsid w:val="009308A8"/>
    <w:rsid w:val="00935D8F"/>
    <w:rsid w:val="00941692"/>
    <w:rsid w:val="00945D15"/>
    <w:rsid w:val="009469AF"/>
    <w:rsid w:val="00947887"/>
    <w:rsid w:val="00954EF1"/>
    <w:rsid w:val="00956471"/>
    <w:rsid w:val="00964561"/>
    <w:rsid w:val="009657E7"/>
    <w:rsid w:val="0097353F"/>
    <w:rsid w:val="009831EC"/>
    <w:rsid w:val="009B1242"/>
    <w:rsid w:val="009B5309"/>
    <w:rsid w:val="009D1EF5"/>
    <w:rsid w:val="009D409F"/>
    <w:rsid w:val="009D6237"/>
    <w:rsid w:val="009D7369"/>
    <w:rsid w:val="009E0585"/>
    <w:rsid w:val="00A02648"/>
    <w:rsid w:val="00A02AA1"/>
    <w:rsid w:val="00A170C6"/>
    <w:rsid w:val="00A3479E"/>
    <w:rsid w:val="00A34AD4"/>
    <w:rsid w:val="00A43398"/>
    <w:rsid w:val="00A56B7A"/>
    <w:rsid w:val="00A62733"/>
    <w:rsid w:val="00A65074"/>
    <w:rsid w:val="00A65C15"/>
    <w:rsid w:val="00A71BFF"/>
    <w:rsid w:val="00A72052"/>
    <w:rsid w:val="00A76B36"/>
    <w:rsid w:val="00A8230E"/>
    <w:rsid w:val="00A87F08"/>
    <w:rsid w:val="00A94A10"/>
    <w:rsid w:val="00AA13FB"/>
    <w:rsid w:val="00AC308A"/>
    <w:rsid w:val="00AC54CB"/>
    <w:rsid w:val="00AC7E3C"/>
    <w:rsid w:val="00AD1BA2"/>
    <w:rsid w:val="00AD6A0F"/>
    <w:rsid w:val="00AE0C81"/>
    <w:rsid w:val="00AE6FFF"/>
    <w:rsid w:val="00AE7AB8"/>
    <w:rsid w:val="00AE7D63"/>
    <w:rsid w:val="00B02222"/>
    <w:rsid w:val="00B0224B"/>
    <w:rsid w:val="00B03F4D"/>
    <w:rsid w:val="00B11641"/>
    <w:rsid w:val="00B1533E"/>
    <w:rsid w:val="00B20EA7"/>
    <w:rsid w:val="00B257B5"/>
    <w:rsid w:val="00B378C1"/>
    <w:rsid w:val="00B505D4"/>
    <w:rsid w:val="00B54BDB"/>
    <w:rsid w:val="00B56230"/>
    <w:rsid w:val="00B70CE8"/>
    <w:rsid w:val="00B830EA"/>
    <w:rsid w:val="00B8722B"/>
    <w:rsid w:val="00B90498"/>
    <w:rsid w:val="00BB05A6"/>
    <w:rsid w:val="00BB14C1"/>
    <w:rsid w:val="00BC004C"/>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424C2"/>
    <w:rsid w:val="00C4725E"/>
    <w:rsid w:val="00C515AC"/>
    <w:rsid w:val="00C51D97"/>
    <w:rsid w:val="00C66226"/>
    <w:rsid w:val="00C6779F"/>
    <w:rsid w:val="00C67E9C"/>
    <w:rsid w:val="00C76A20"/>
    <w:rsid w:val="00C83982"/>
    <w:rsid w:val="00C94BED"/>
    <w:rsid w:val="00CA18D7"/>
    <w:rsid w:val="00CA41CE"/>
    <w:rsid w:val="00CA76E9"/>
    <w:rsid w:val="00CA7E61"/>
    <w:rsid w:val="00CB1B7F"/>
    <w:rsid w:val="00CB760B"/>
    <w:rsid w:val="00CD1BBC"/>
    <w:rsid w:val="00CD1C58"/>
    <w:rsid w:val="00CF4B63"/>
    <w:rsid w:val="00CF7C99"/>
    <w:rsid w:val="00D01DB7"/>
    <w:rsid w:val="00D121F8"/>
    <w:rsid w:val="00D133F0"/>
    <w:rsid w:val="00D3166A"/>
    <w:rsid w:val="00D31D45"/>
    <w:rsid w:val="00D60833"/>
    <w:rsid w:val="00D61708"/>
    <w:rsid w:val="00D70DE3"/>
    <w:rsid w:val="00D740ED"/>
    <w:rsid w:val="00D82869"/>
    <w:rsid w:val="00DA083B"/>
    <w:rsid w:val="00DA7C42"/>
    <w:rsid w:val="00DB1308"/>
    <w:rsid w:val="00DD2FF0"/>
    <w:rsid w:val="00DE5792"/>
    <w:rsid w:val="00DF6FF1"/>
    <w:rsid w:val="00E02030"/>
    <w:rsid w:val="00E02381"/>
    <w:rsid w:val="00E03562"/>
    <w:rsid w:val="00E3496B"/>
    <w:rsid w:val="00E430A7"/>
    <w:rsid w:val="00E61A05"/>
    <w:rsid w:val="00E62039"/>
    <w:rsid w:val="00E668EA"/>
    <w:rsid w:val="00E7748A"/>
    <w:rsid w:val="00E85F23"/>
    <w:rsid w:val="00E91951"/>
    <w:rsid w:val="00EA18BB"/>
    <w:rsid w:val="00EA5148"/>
    <w:rsid w:val="00EB2413"/>
    <w:rsid w:val="00EB6197"/>
    <w:rsid w:val="00EB62D4"/>
    <w:rsid w:val="00EC5901"/>
    <w:rsid w:val="00ED0A12"/>
    <w:rsid w:val="00ED478F"/>
    <w:rsid w:val="00EF0830"/>
    <w:rsid w:val="00EF0D4A"/>
    <w:rsid w:val="00EF14B3"/>
    <w:rsid w:val="00F0432F"/>
    <w:rsid w:val="00F071B8"/>
    <w:rsid w:val="00F07587"/>
    <w:rsid w:val="00F211F4"/>
    <w:rsid w:val="00F21270"/>
    <w:rsid w:val="00F23ABD"/>
    <w:rsid w:val="00F24EC4"/>
    <w:rsid w:val="00F34239"/>
    <w:rsid w:val="00F34CED"/>
    <w:rsid w:val="00F35860"/>
    <w:rsid w:val="00F37A68"/>
    <w:rsid w:val="00F4460D"/>
    <w:rsid w:val="00F4752A"/>
    <w:rsid w:val="00F54F5A"/>
    <w:rsid w:val="00F70BCF"/>
    <w:rsid w:val="00F764E1"/>
    <w:rsid w:val="00F83023"/>
    <w:rsid w:val="00F85B79"/>
    <w:rsid w:val="00F954A7"/>
    <w:rsid w:val="00FB3E3B"/>
    <w:rsid w:val="00FB45F2"/>
    <w:rsid w:val="00FB5EB3"/>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Car">
    <w:name w:val="ITI Car"/>
    <w:basedOn w:val="Fuentedeprrafopredeter"/>
    <w:link w:val="ITI"/>
    <w:locked/>
    <w:rsid w:val="008E66EE"/>
    <w:rPr>
      <w:rFonts w:ascii="Tw Cen MT" w:hAnsi="Tw Cen MT"/>
      <w:color w:val="000000"/>
      <w:lang w:eastAsia="es-ES"/>
    </w:rPr>
  </w:style>
  <w:style w:type="paragraph" w:customStyle="1" w:styleId="ITI">
    <w:name w:val="ITI"/>
    <w:basedOn w:val="Normal"/>
    <w:link w:val="ITICar"/>
    <w:qFormat/>
    <w:rsid w:val="008E66EE"/>
    <w:pPr>
      <w:autoSpaceDE w:val="0"/>
      <w:autoSpaceDN w:val="0"/>
      <w:spacing w:before="0" w:after="0" w:line="264" w:lineRule="auto"/>
      <w:jc w:val="both"/>
    </w:pPr>
    <w:rPr>
      <w:rFonts w:ascii="Tw Cen MT" w:hAnsi="Tw Cen MT"/>
      <w:color w:val="000000"/>
      <w:lang w:eastAsia="es-ES"/>
    </w:rPr>
  </w:style>
  <w:style w:type="character" w:styleId="Refdecomentario">
    <w:name w:val="annotation reference"/>
    <w:basedOn w:val="Fuentedeprrafopredeter"/>
    <w:uiPriority w:val="99"/>
    <w:semiHidden/>
    <w:unhideWhenUsed/>
    <w:rsid w:val="00060439"/>
    <w:rPr>
      <w:sz w:val="16"/>
      <w:szCs w:val="16"/>
    </w:rPr>
  </w:style>
  <w:style w:type="paragraph" w:styleId="Textocomentario">
    <w:name w:val="annotation text"/>
    <w:basedOn w:val="Normal"/>
    <w:link w:val="TextocomentarioCar"/>
    <w:uiPriority w:val="99"/>
    <w:semiHidden/>
    <w:unhideWhenUsed/>
    <w:rsid w:val="00060439"/>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060439"/>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060439"/>
    <w:rPr>
      <w:b/>
      <w:bCs/>
    </w:rPr>
  </w:style>
  <w:style w:type="character" w:customStyle="1" w:styleId="AsuntodelcomentarioCar">
    <w:name w:val="Asunto del comentario Car"/>
    <w:basedOn w:val="TextocomentarioCar"/>
    <w:link w:val="Asuntodelcomentario"/>
    <w:uiPriority w:val="99"/>
    <w:semiHidden/>
    <w:rsid w:val="00060439"/>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629">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89936962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 w:id="2112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6773</Words>
  <Characters>37254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2024-04-10T21:47:00Z</dcterms:created>
  <dcterms:modified xsi:type="dcterms:W3CDTF">2024-04-10T21:47:00Z</dcterms:modified>
</cp:coreProperties>
</file>